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280" w:rsidRPr="000F0E93" w:rsidRDefault="005D5280" w:rsidP="000F0E93">
      <w:pPr>
        <w:spacing w:line="276" w:lineRule="auto"/>
        <w:rPr>
          <w:rFonts w:ascii="Trebuchet MS" w:hAnsi="Trebuchet MS" w:cs="Arial"/>
          <w:b/>
        </w:rPr>
      </w:pPr>
      <w:r w:rsidRPr="000F0E93">
        <w:rPr>
          <w:rFonts w:ascii="Trebuchet MS" w:hAnsi="Trebuchet MS" w:cs="Arial"/>
          <w:b/>
        </w:rPr>
        <w:t xml:space="preserve">CAPITOLUL I: Prezentarea teritoriului și a populației acoperite – analiza diagnostic </w:t>
      </w:r>
    </w:p>
    <w:p w:rsidR="000C4FC6" w:rsidRPr="000F0E93" w:rsidRDefault="000C4FC6" w:rsidP="000F0E93">
      <w:pPr>
        <w:spacing w:after="0" w:line="276" w:lineRule="auto"/>
        <w:ind w:firstLine="708"/>
        <w:jc w:val="both"/>
        <w:rPr>
          <w:rFonts w:ascii="Trebuchet MS" w:hAnsi="Trebuchet MS" w:cs="Arial"/>
        </w:rPr>
      </w:pPr>
      <w:r w:rsidRPr="000F0E93">
        <w:rPr>
          <w:rFonts w:ascii="Trebuchet MS" w:hAnsi="Trebuchet MS" w:cs="Arial"/>
        </w:rPr>
        <w:t xml:space="preserve">Teritoriul acoperit de </w:t>
      </w:r>
      <w:r w:rsidR="005D5280" w:rsidRPr="000F0E93">
        <w:rPr>
          <w:rFonts w:ascii="Trebuchet MS" w:hAnsi="Trebuchet MS" w:cs="Arial"/>
        </w:rPr>
        <w:t>GAL</w:t>
      </w:r>
      <w:r w:rsidRPr="000F0E93">
        <w:rPr>
          <w:rFonts w:ascii="Trebuchet MS" w:hAnsi="Trebuchet MS" w:cs="Arial"/>
        </w:rPr>
        <w:t xml:space="preserve"> </w:t>
      </w:r>
      <w:r w:rsidR="00592E34" w:rsidRPr="000F0E93">
        <w:rPr>
          <w:rFonts w:ascii="Trebuchet MS" w:hAnsi="Trebuchet MS" w:cs="Arial"/>
        </w:rPr>
        <w:t>Segarcea</w:t>
      </w:r>
      <w:r w:rsidRPr="000F0E93">
        <w:rPr>
          <w:rFonts w:ascii="Trebuchet MS" w:hAnsi="Trebuchet MS" w:cs="Arial"/>
        </w:rPr>
        <w:t xml:space="preserve"> include </w:t>
      </w:r>
      <w:r w:rsidR="0070008A" w:rsidRPr="000F0E93">
        <w:rPr>
          <w:rFonts w:ascii="Trebuchet MS" w:hAnsi="Trebuchet MS" w:cs="Arial"/>
        </w:rPr>
        <w:t>1</w:t>
      </w:r>
      <w:r w:rsidR="00592E34" w:rsidRPr="000F0E93">
        <w:rPr>
          <w:rFonts w:ascii="Trebuchet MS" w:hAnsi="Trebuchet MS" w:cs="Arial"/>
        </w:rPr>
        <w:t>2</w:t>
      </w:r>
      <w:r w:rsidR="0070008A" w:rsidRPr="000F0E93">
        <w:rPr>
          <w:rFonts w:ascii="Trebuchet MS" w:hAnsi="Trebuchet MS" w:cs="Arial"/>
        </w:rPr>
        <w:t xml:space="preserve"> localități din </w:t>
      </w:r>
      <w:r w:rsidR="00A72D71" w:rsidRPr="000F0E93">
        <w:rPr>
          <w:rFonts w:ascii="Trebuchet MS" w:hAnsi="Trebuchet MS" w:cs="Arial"/>
        </w:rPr>
        <w:t xml:space="preserve">județul </w:t>
      </w:r>
      <w:r w:rsidR="0070008A" w:rsidRPr="000F0E93">
        <w:rPr>
          <w:rFonts w:ascii="Trebuchet MS" w:hAnsi="Trebuchet MS" w:cs="Arial"/>
        </w:rPr>
        <w:t xml:space="preserve">Dolj: orașul </w:t>
      </w:r>
      <w:r w:rsidR="00592E34" w:rsidRPr="000F0E93">
        <w:rPr>
          <w:rFonts w:ascii="Trebuchet MS" w:hAnsi="Trebuchet MS" w:cs="Arial"/>
        </w:rPr>
        <w:t>Segarcea</w:t>
      </w:r>
      <w:r w:rsidR="0070008A" w:rsidRPr="000F0E93">
        <w:rPr>
          <w:rFonts w:ascii="Trebuchet MS" w:hAnsi="Trebuchet MS" w:cs="Arial"/>
        </w:rPr>
        <w:t>, comunele</w:t>
      </w:r>
      <w:r w:rsidR="00A72D71" w:rsidRPr="000F0E93">
        <w:rPr>
          <w:rFonts w:ascii="Trebuchet MS" w:hAnsi="Trebuchet MS" w:cs="Arial"/>
        </w:rPr>
        <w:t xml:space="preserve"> Calopăr, Cerat, Cioroiași, Dobrești, Drănic, Întorsura, Lipovu, Podari, Radovan, Siliștea Crucii și Țuglui.</w:t>
      </w:r>
      <w:r w:rsidRPr="000F0E93">
        <w:rPr>
          <w:rFonts w:ascii="Trebuchet MS" w:hAnsi="Trebuchet MS" w:cs="Arial"/>
        </w:rPr>
        <w:t xml:space="preserve"> Suprafața acestuia însumează </w:t>
      </w:r>
      <w:r w:rsidR="00A72D71" w:rsidRPr="000F0E93">
        <w:rPr>
          <w:rFonts w:ascii="Trebuchet MS" w:hAnsi="Trebuchet MS" w:cs="Arial"/>
        </w:rPr>
        <w:t>698,84</w:t>
      </w:r>
      <w:r w:rsidRPr="000F0E93">
        <w:rPr>
          <w:rFonts w:ascii="Trebuchet MS" w:hAnsi="Trebuchet MS" w:cs="Arial"/>
        </w:rPr>
        <w:t xml:space="preserve"> km</w:t>
      </w:r>
      <w:r w:rsidRPr="000F0E93">
        <w:rPr>
          <w:rFonts w:ascii="Trebuchet MS" w:hAnsi="Trebuchet MS" w:cs="Arial"/>
          <w:vertAlign w:val="superscript"/>
        </w:rPr>
        <w:t>2</w:t>
      </w:r>
      <w:r w:rsidRPr="000F0E93">
        <w:rPr>
          <w:rFonts w:ascii="Trebuchet MS" w:hAnsi="Trebuchet MS" w:cs="Arial"/>
        </w:rPr>
        <w:t xml:space="preserve"> </w:t>
      </w:r>
      <w:r w:rsidR="005D5280" w:rsidRPr="000F0E93">
        <w:rPr>
          <w:rFonts w:ascii="Trebuchet MS" w:hAnsi="Trebuchet MS" w:cs="Arial"/>
        </w:rPr>
        <w:t>fiind</w:t>
      </w:r>
      <w:r w:rsidRPr="000F0E93">
        <w:rPr>
          <w:rFonts w:ascii="Trebuchet MS" w:hAnsi="Trebuchet MS" w:cs="Arial"/>
        </w:rPr>
        <w:t xml:space="preserve"> compact amplasat</w:t>
      </w:r>
      <w:r w:rsidR="00A72D71" w:rsidRPr="000F0E93">
        <w:rPr>
          <w:rFonts w:ascii="Trebuchet MS" w:hAnsi="Trebuchet MS" w:cs="Arial"/>
        </w:rPr>
        <w:t xml:space="preserve"> în centrul județului</w:t>
      </w:r>
      <w:r w:rsidRPr="000F0E93">
        <w:rPr>
          <w:rFonts w:ascii="Trebuchet MS" w:hAnsi="Trebuchet MS" w:cs="Arial"/>
        </w:rPr>
        <w:t xml:space="preserve">. Zona urbană cuprinde localitatea </w:t>
      </w:r>
      <w:r w:rsidR="00A72D71" w:rsidRPr="000F0E93">
        <w:rPr>
          <w:rFonts w:ascii="Trebuchet MS" w:hAnsi="Trebuchet MS" w:cs="Arial"/>
        </w:rPr>
        <w:t>Segarcea, cu o suprafață de 120,08</w:t>
      </w:r>
      <w:r w:rsidRPr="000F0E93">
        <w:rPr>
          <w:rFonts w:ascii="Trebuchet MS" w:hAnsi="Trebuchet MS" w:cs="Arial"/>
        </w:rPr>
        <w:t xml:space="preserve"> de hectare și o populație de </w:t>
      </w:r>
      <w:r w:rsidR="00A72D71" w:rsidRPr="000F0E93">
        <w:rPr>
          <w:rFonts w:ascii="Trebuchet MS" w:hAnsi="Trebuchet MS" w:cs="Arial"/>
        </w:rPr>
        <w:t>7.019</w:t>
      </w:r>
      <w:r w:rsidRPr="000F0E93">
        <w:rPr>
          <w:rFonts w:ascii="Trebuchet MS" w:hAnsi="Trebuchet MS" w:cs="Arial"/>
        </w:rPr>
        <w:t xml:space="preserve"> de locuitori. Prin urmare, în cadrul parteneriat</w:t>
      </w:r>
      <w:r w:rsidR="00705DF8" w:rsidRPr="000F0E93">
        <w:rPr>
          <w:rFonts w:ascii="Trebuchet MS" w:hAnsi="Trebuchet MS" w:cs="Arial"/>
        </w:rPr>
        <w:t xml:space="preserve">ului, zona urbană </w:t>
      </w:r>
      <w:r w:rsidR="00A72D71" w:rsidRPr="000F0E93">
        <w:rPr>
          <w:rFonts w:ascii="Trebuchet MS" w:hAnsi="Trebuchet MS" w:cs="Arial"/>
        </w:rPr>
        <w:t>reprezintă 17,8</w:t>
      </w:r>
      <w:r w:rsidRPr="000F0E93">
        <w:rPr>
          <w:rFonts w:ascii="Trebuchet MS" w:hAnsi="Trebuchet MS" w:cs="Arial"/>
        </w:rPr>
        <w:t>% din pu</w:t>
      </w:r>
      <w:r w:rsidR="00705DF8" w:rsidRPr="000F0E93">
        <w:rPr>
          <w:rFonts w:ascii="Trebuchet MS" w:hAnsi="Trebuchet MS" w:cs="Arial"/>
        </w:rPr>
        <w:t xml:space="preserve">nct de </w:t>
      </w:r>
      <w:r w:rsidR="00A72D71" w:rsidRPr="000F0E93">
        <w:rPr>
          <w:rFonts w:ascii="Trebuchet MS" w:hAnsi="Trebuchet MS" w:cs="Arial"/>
        </w:rPr>
        <w:t>vedere al populației și 11,3</w:t>
      </w:r>
      <w:r w:rsidRPr="000F0E93">
        <w:rPr>
          <w:rFonts w:ascii="Trebuchet MS" w:hAnsi="Trebuchet MS" w:cs="Arial"/>
        </w:rPr>
        <w:t>%</w:t>
      </w:r>
      <w:r w:rsidR="008A40A1" w:rsidRPr="000F0E93">
        <w:rPr>
          <w:rFonts w:ascii="Trebuchet MS" w:hAnsi="Trebuchet MS" w:cs="Arial"/>
        </w:rPr>
        <w:t xml:space="preserve"> din teritoriu</w:t>
      </w:r>
      <w:r w:rsidRPr="000F0E93">
        <w:rPr>
          <w:rFonts w:ascii="Trebuchet MS" w:hAnsi="Trebuchet MS" w:cs="Arial"/>
        </w:rPr>
        <w:t xml:space="preserve"> în ceea ce privește întinderea teritorială.</w:t>
      </w:r>
    </w:p>
    <w:p w:rsidR="00BF677D" w:rsidRPr="000F0E93" w:rsidRDefault="000C4FC6" w:rsidP="000F0E93">
      <w:pPr>
        <w:spacing w:after="0" w:line="276" w:lineRule="auto"/>
        <w:ind w:firstLine="708"/>
        <w:jc w:val="both"/>
        <w:rPr>
          <w:rFonts w:ascii="Trebuchet MS" w:hAnsi="Trebuchet MS" w:cs="Arial"/>
        </w:rPr>
      </w:pPr>
      <w:r w:rsidRPr="000F0E93">
        <w:rPr>
          <w:rFonts w:ascii="Trebuchet MS" w:hAnsi="Trebuchet MS" w:cs="Arial"/>
        </w:rPr>
        <w:t xml:space="preserve">În cadrul acestor unități administrative locuiesc </w:t>
      </w:r>
      <w:r w:rsidR="00592E34" w:rsidRPr="000F0E93">
        <w:rPr>
          <w:rFonts w:ascii="Trebuchet MS" w:hAnsi="Trebuchet MS" w:cs="Arial"/>
        </w:rPr>
        <w:t>39.</w:t>
      </w:r>
      <w:r w:rsidR="00705DF8" w:rsidRPr="000F0E93">
        <w:rPr>
          <w:rFonts w:ascii="Trebuchet MS" w:hAnsi="Trebuchet MS" w:cs="Arial"/>
        </w:rPr>
        <w:t>3</w:t>
      </w:r>
      <w:r w:rsidR="00592E34" w:rsidRPr="000F0E93">
        <w:rPr>
          <w:rFonts w:ascii="Trebuchet MS" w:hAnsi="Trebuchet MS" w:cs="Arial"/>
        </w:rPr>
        <w:t>4</w:t>
      </w:r>
      <w:r w:rsidR="00705DF8" w:rsidRPr="000F0E93">
        <w:rPr>
          <w:rFonts w:ascii="Trebuchet MS" w:hAnsi="Trebuchet MS" w:cs="Arial"/>
        </w:rPr>
        <w:t xml:space="preserve">9 </w:t>
      </w:r>
      <w:r w:rsidRPr="000F0E93">
        <w:rPr>
          <w:rFonts w:ascii="Trebuchet MS" w:hAnsi="Trebuchet MS" w:cs="Arial"/>
        </w:rPr>
        <w:t xml:space="preserve">de persoane conform Recensământului Populației și Locuințelor din anul 2011. Dimensiunea medie a populației în localitățile din teritoriu este de </w:t>
      </w:r>
      <w:r w:rsidR="00592E34" w:rsidRPr="000F0E93">
        <w:rPr>
          <w:rFonts w:ascii="Trebuchet MS" w:hAnsi="Trebuchet MS" w:cs="Arial"/>
        </w:rPr>
        <w:t>3.279,3</w:t>
      </w:r>
      <w:r w:rsidRPr="000F0E93">
        <w:rPr>
          <w:rFonts w:ascii="Trebuchet MS" w:hAnsi="Trebuchet MS" w:cs="Arial"/>
        </w:rPr>
        <w:t xml:space="preserve"> de locuitori, valoarea mai mare comparativ cu media județelor </w:t>
      </w:r>
      <w:r w:rsidR="005657E2" w:rsidRPr="000F0E93">
        <w:rPr>
          <w:rFonts w:ascii="Trebuchet MS" w:hAnsi="Trebuchet MS" w:cs="Arial"/>
        </w:rPr>
        <w:t xml:space="preserve">Dolj (3096,7) </w:t>
      </w:r>
      <w:r w:rsidRPr="000F0E93">
        <w:rPr>
          <w:rFonts w:ascii="Trebuchet MS" w:hAnsi="Trebuchet MS" w:cs="Arial"/>
        </w:rPr>
        <w:t xml:space="preserve">ca urmare a prezenței unor localități mai populate precum orașul </w:t>
      </w:r>
      <w:r w:rsidR="00592E34" w:rsidRPr="000F0E93">
        <w:rPr>
          <w:rFonts w:ascii="Trebuchet MS" w:hAnsi="Trebuchet MS" w:cs="Arial"/>
        </w:rPr>
        <w:t>Segarcea</w:t>
      </w:r>
      <w:r w:rsidR="005657E2" w:rsidRPr="000F0E93">
        <w:rPr>
          <w:rFonts w:ascii="Trebuchet MS" w:hAnsi="Trebuchet MS" w:cs="Arial"/>
        </w:rPr>
        <w:t xml:space="preserve"> (</w:t>
      </w:r>
      <w:r w:rsidR="00592E34" w:rsidRPr="000F0E93">
        <w:rPr>
          <w:rFonts w:ascii="Trebuchet MS" w:hAnsi="Trebuchet MS" w:cs="Arial"/>
        </w:rPr>
        <w:t>7.019</w:t>
      </w:r>
      <w:r w:rsidRPr="000F0E93">
        <w:rPr>
          <w:rFonts w:ascii="Trebuchet MS" w:hAnsi="Trebuchet MS" w:cs="Arial"/>
        </w:rPr>
        <w:t xml:space="preserve">), </w:t>
      </w:r>
      <w:r w:rsidR="00592E34" w:rsidRPr="000F0E93">
        <w:rPr>
          <w:rFonts w:ascii="Trebuchet MS" w:hAnsi="Trebuchet MS" w:cs="Arial"/>
        </w:rPr>
        <w:t>Podari</w:t>
      </w:r>
      <w:r w:rsidR="005657E2" w:rsidRPr="000F0E93">
        <w:rPr>
          <w:rFonts w:ascii="Trebuchet MS" w:hAnsi="Trebuchet MS" w:cs="Arial"/>
        </w:rPr>
        <w:t xml:space="preserve"> (</w:t>
      </w:r>
      <w:r w:rsidR="00592E34" w:rsidRPr="000F0E93">
        <w:rPr>
          <w:rFonts w:ascii="Trebuchet MS" w:hAnsi="Trebuchet MS" w:cs="Arial"/>
        </w:rPr>
        <w:t>6.909</w:t>
      </w:r>
      <w:r w:rsidRPr="000F0E93">
        <w:rPr>
          <w:rFonts w:ascii="Trebuchet MS" w:hAnsi="Trebuchet MS" w:cs="Arial"/>
        </w:rPr>
        <w:t xml:space="preserve">), </w:t>
      </w:r>
      <w:r w:rsidR="00B937B6" w:rsidRPr="000F0E93">
        <w:rPr>
          <w:rFonts w:ascii="Trebuchet MS" w:hAnsi="Trebuchet MS" w:cs="Arial"/>
        </w:rPr>
        <w:t>Cerat</w:t>
      </w:r>
      <w:r w:rsidR="005657E2" w:rsidRPr="000F0E93">
        <w:rPr>
          <w:rFonts w:ascii="Trebuchet MS" w:hAnsi="Trebuchet MS" w:cs="Arial"/>
        </w:rPr>
        <w:t xml:space="preserve"> (</w:t>
      </w:r>
      <w:r w:rsidR="00B937B6" w:rsidRPr="000F0E93">
        <w:rPr>
          <w:rFonts w:ascii="Trebuchet MS" w:hAnsi="Trebuchet MS" w:cs="Arial"/>
        </w:rPr>
        <w:t>4</w:t>
      </w:r>
      <w:r w:rsidR="005657E2" w:rsidRPr="000F0E93">
        <w:rPr>
          <w:rFonts w:ascii="Trebuchet MS" w:hAnsi="Trebuchet MS" w:cs="Arial"/>
        </w:rPr>
        <w:t>.</w:t>
      </w:r>
      <w:r w:rsidR="00B937B6" w:rsidRPr="000F0E93">
        <w:rPr>
          <w:rFonts w:ascii="Trebuchet MS" w:hAnsi="Trebuchet MS" w:cs="Arial"/>
        </w:rPr>
        <w:t>226</w:t>
      </w:r>
      <w:r w:rsidRPr="000F0E93">
        <w:rPr>
          <w:rFonts w:ascii="Trebuchet MS" w:hAnsi="Trebuchet MS" w:cs="Arial"/>
        </w:rPr>
        <w:t>),</w:t>
      </w:r>
      <w:r w:rsidR="005657E2" w:rsidRPr="000F0E93">
        <w:rPr>
          <w:rFonts w:ascii="Trebuchet MS" w:hAnsi="Trebuchet MS" w:cs="Arial"/>
        </w:rPr>
        <w:t xml:space="preserve"> </w:t>
      </w:r>
      <w:r w:rsidR="00B937B6" w:rsidRPr="000F0E93">
        <w:rPr>
          <w:rFonts w:ascii="Trebuchet MS" w:hAnsi="Trebuchet MS" w:cs="Arial"/>
        </w:rPr>
        <w:t>Calopăr (3.723</w:t>
      </w:r>
      <w:r w:rsidR="005657E2" w:rsidRPr="000F0E93">
        <w:rPr>
          <w:rFonts w:ascii="Trebuchet MS" w:hAnsi="Trebuchet MS" w:cs="Arial"/>
        </w:rPr>
        <w:t xml:space="preserve">) sau </w:t>
      </w:r>
      <w:r w:rsidR="00B937B6" w:rsidRPr="000F0E93">
        <w:rPr>
          <w:rFonts w:ascii="Trebuchet MS" w:hAnsi="Trebuchet MS" w:cs="Arial"/>
        </w:rPr>
        <w:t>Lipovu</w:t>
      </w:r>
      <w:r w:rsidR="005657E2" w:rsidRPr="000F0E93">
        <w:rPr>
          <w:rFonts w:ascii="Trebuchet MS" w:hAnsi="Trebuchet MS" w:cs="Arial"/>
        </w:rPr>
        <w:t xml:space="preserve"> (</w:t>
      </w:r>
      <w:r w:rsidR="00B937B6" w:rsidRPr="000F0E93">
        <w:rPr>
          <w:rFonts w:ascii="Trebuchet MS" w:hAnsi="Trebuchet MS" w:cs="Arial"/>
        </w:rPr>
        <w:t>3</w:t>
      </w:r>
      <w:r w:rsidR="005657E2" w:rsidRPr="000F0E93">
        <w:rPr>
          <w:rFonts w:ascii="Trebuchet MS" w:hAnsi="Trebuchet MS" w:cs="Arial"/>
        </w:rPr>
        <w:t>.</w:t>
      </w:r>
      <w:r w:rsidR="00B937B6" w:rsidRPr="000F0E93">
        <w:rPr>
          <w:rFonts w:ascii="Trebuchet MS" w:hAnsi="Trebuchet MS" w:cs="Arial"/>
        </w:rPr>
        <w:t>313</w:t>
      </w:r>
      <w:r w:rsidR="005657E2" w:rsidRPr="000F0E93">
        <w:rPr>
          <w:rFonts w:ascii="Trebuchet MS" w:hAnsi="Trebuchet MS" w:cs="Arial"/>
        </w:rPr>
        <w:t>)</w:t>
      </w:r>
      <w:r w:rsidRPr="000F0E93">
        <w:rPr>
          <w:rFonts w:ascii="Trebuchet MS" w:hAnsi="Trebuchet MS" w:cs="Arial"/>
        </w:rPr>
        <w:t xml:space="preserve">. Densitatea medie a populației este </w:t>
      </w:r>
      <w:r w:rsidR="005657E2" w:rsidRPr="000F0E93">
        <w:rPr>
          <w:rFonts w:ascii="Trebuchet MS" w:hAnsi="Trebuchet MS" w:cs="Arial"/>
        </w:rPr>
        <w:t>5</w:t>
      </w:r>
      <w:r w:rsidR="00B937B6" w:rsidRPr="000F0E93">
        <w:rPr>
          <w:rFonts w:ascii="Trebuchet MS" w:hAnsi="Trebuchet MS" w:cs="Arial"/>
        </w:rPr>
        <w:t>6,31</w:t>
      </w:r>
      <w:r w:rsidRPr="000F0E93">
        <w:rPr>
          <w:rFonts w:ascii="Trebuchet MS" w:hAnsi="Trebuchet MS" w:cs="Arial"/>
        </w:rPr>
        <w:t xml:space="preserve"> locuitori/km</w:t>
      </w:r>
      <w:r w:rsidRPr="000F0E93">
        <w:rPr>
          <w:rFonts w:ascii="Trebuchet MS" w:hAnsi="Trebuchet MS" w:cs="Arial"/>
          <w:vertAlign w:val="superscript"/>
        </w:rPr>
        <w:t>2</w:t>
      </w:r>
      <w:r w:rsidRPr="000F0E93">
        <w:rPr>
          <w:rFonts w:ascii="Trebuchet MS" w:hAnsi="Trebuchet MS" w:cs="Arial"/>
        </w:rPr>
        <w:t>.</w:t>
      </w:r>
      <w:r w:rsidR="00A72D71" w:rsidRPr="000F0E93">
        <w:rPr>
          <w:rFonts w:ascii="Trebuchet MS" w:hAnsi="Trebuchet MS" w:cs="Arial"/>
        </w:rPr>
        <w:t xml:space="preserve"> </w:t>
      </w:r>
      <w:r w:rsidR="00BF677D" w:rsidRPr="000F0E93">
        <w:rPr>
          <w:rFonts w:ascii="Trebuchet MS" w:hAnsi="Trebuchet MS" w:cs="Arial"/>
        </w:rPr>
        <w:t xml:space="preserve">Din punct de vedere demografic, trendul pe termen lung este negativ, ceea ce va reprezentă un dezavantaj cert pentru societatea și economia locală pe termen mediu si lung. </w:t>
      </w:r>
      <w:r w:rsidR="00B937B6" w:rsidRPr="000F0E93">
        <w:rPr>
          <w:rFonts w:ascii="Trebuchet MS" w:hAnsi="Trebuchet MS" w:cs="Arial"/>
        </w:rPr>
        <w:t>Analiza populației distribuită pe grupe de vârstă,</w:t>
      </w:r>
      <w:r w:rsidR="00BF677D" w:rsidRPr="000F0E93">
        <w:rPr>
          <w:rFonts w:ascii="Trebuchet MS" w:hAnsi="Trebuchet MS" w:cs="Arial"/>
        </w:rPr>
        <w:t xml:space="preserve"> indică faptul că populația din teritoriul GAL este distribuită relativ egal între tineri (0-24 de ani: </w:t>
      </w:r>
      <w:r w:rsidR="00B937B6" w:rsidRPr="000F0E93">
        <w:rPr>
          <w:rFonts w:ascii="Trebuchet MS" w:hAnsi="Trebuchet MS" w:cs="Arial"/>
        </w:rPr>
        <w:t>12.835</w:t>
      </w:r>
      <w:r w:rsidR="00BF677D" w:rsidRPr="000F0E93">
        <w:rPr>
          <w:rFonts w:ascii="Trebuchet MS" w:hAnsi="Trebuchet MS" w:cs="Arial"/>
        </w:rPr>
        <w:t xml:space="preserve">), populația adultă (25-64: </w:t>
      </w:r>
      <w:r w:rsidR="00B937B6" w:rsidRPr="000F0E93">
        <w:rPr>
          <w:rFonts w:ascii="Trebuchet MS" w:hAnsi="Trebuchet MS" w:cs="Arial"/>
        </w:rPr>
        <w:t>20.1312</w:t>
      </w:r>
      <w:r w:rsidR="00BF677D" w:rsidRPr="000F0E93">
        <w:rPr>
          <w:rFonts w:ascii="Trebuchet MS" w:hAnsi="Trebuchet MS" w:cs="Arial"/>
        </w:rPr>
        <w:t>) și populația de peste 65 de ani (</w:t>
      </w:r>
      <w:r w:rsidR="00B937B6" w:rsidRPr="000F0E93">
        <w:rPr>
          <w:rFonts w:ascii="Trebuchet MS" w:hAnsi="Trebuchet MS" w:cs="Arial"/>
        </w:rPr>
        <w:t>7.759</w:t>
      </w:r>
      <w:r w:rsidR="00BF677D" w:rsidRPr="000F0E93">
        <w:rPr>
          <w:rFonts w:ascii="Trebuchet MS" w:hAnsi="Trebuchet MS" w:cs="Arial"/>
        </w:rPr>
        <w:t xml:space="preserve">). </w:t>
      </w:r>
    </w:p>
    <w:p w:rsidR="0006411F" w:rsidRPr="000F0E93" w:rsidRDefault="0006411F" w:rsidP="000F0E93">
      <w:pPr>
        <w:spacing w:after="0" w:line="276" w:lineRule="auto"/>
        <w:jc w:val="both"/>
        <w:rPr>
          <w:rFonts w:ascii="Trebuchet MS" w:hAnsi="Trebuchet MS" w:cs="Arial"/>
          <w:b/>
        </w:rPr>
      </w:pPr>
      <w:r w:rsidRPr="000F0E93">
        <w:rPr>
          <w:rFonts w:ascii="Trebuchet MS" w:hAnsi="Trebuchet MS" w:cs="Arial"/>
          <w:b/>
          <w:bCs/>
          <w:color w:val="000000"/>
          <w:lang w:val="fr-FR"/>
        </w:rPr>
        <w:t xml:space="preserve">SDL </w:t>
      </w:r>
      <w:proofErr w:type="spellStart"/>
      <w:r w:rsidRPr="000F0E93">
        <w:rPr>
          <w:rFonts w:ascii="Trebuchet MS" w:hAnsi="Trebuchet MS" w:cs="Arial"/>
          <w:b/>
          <w:bCs/>
          <w:color w:val="000000"/>
          <w:lang w:val="fr-FR"/>
        </w:rPr>
        <w:t>demonstrează</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conformitatea</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cu</w:t>
      </w:r>
      <w:proofErr w:type="spellEnd"/>
      <w:r w:rsidRPr="000F0E93">
        <w:rPr>
          <w:rFonts w:ascii="Trebuchet MS" w:hAnsi="Trebuchet MS" w:cs="Arial"/>
          <w:b/>
          <w:bCs/>
          <w:color w:val="000000"/>
          <w:lang w:val="fr-FR"/>
        </w:rPr>
        <w:t xml:space="preserve"> C.S. 1.1 </w:t>
      </w:r>
      <w:proofErr w:type="spellStart"/>
      <w:r w:rsidRPr="000F0E93">
        <w:rPr>
          <w:rFonts w:ascii="Trebuchet MS" w:hAnsi="Trebuchet MS" w:cs="Arial"/>
          <w:b/>
          <w:bCs/>
          <w:color w:val="000000"/>
          <w:lang w:val="fr-FR"/>
        </w:rPr>
        <w:t>prin</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faptul</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că</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teritoriul</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acoperit</w:t>
      </w:r>
      <w:proofErr w:type="spellEnd"/>
      <w:r w:rsidRPr="000F0E93">
        <w:rPr>
          <w:rFonts w:ascii="Trebuchet MS" w:hAnsi="Trebuchet MS" w:cs="Arial"/>
          <w:b/>
          <w:bCs/>
          <w:color w:val="000000"/>
          <w:lang w:val="fr-FR"/>
        </w:rPr>
        <w:t xml:space="preserve"> de </w:t>
      </w:r>
      <w:proofErr w:type="spellStart"/>
      <w:r w:rsidRPr="000F0E93">
        <w:rPr>
          <w:rFonts w:ascii="Trebuchet MS" w:hAnsi="Trebuchet MS" w:cs="Arial"/>
          <w:b/>
          <w:bCs/>
          <w:color w:val="000000"/>
          <w:lang w:val="fr-FR"/>
        </w:rPr>
        <w:t>parteneriat</w:t>
      </w:r>
      <w:proofErr w:type="spellEnd"/>
      <w:r w:rsidRPr="000F0E93">
        <w:rPr>
          <w:rFonts w:ascii="Trebuchet MS" w:hAnsi="Trebuchet MS" w:cs="Arial"/>
          <w:b/>
          <w:bCs/>
          <w:color w:val="000000"/>
          <w:lang w:val="fr-FR"/>
        </w:rPr>
        <w:t xml:space="preserve"> are o </w:t>
      </w:r>
      <w:proofErr w:type="spellStart"/>
      <w:r w:rsidRPr="000F0E93">
        <w:rPr>
          <w:rFonts w:ascii="Trebuchet MS" w:hAnsi="Trebuchet MS" w:cs="Arial"/>
          <w:b/>
          <w:bCs/>
          <w:color w:val="000000"/>
          <w:lang w:val="fr-FR"/>
        </w:rPr>
        <w:t>densitate</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medie</w:t>
      </w:r>
      <w:proofErr w:type="spellEnd"/>
      <w:r w:rsidRPr="000F0E93">
        <w:rPr>
          <w:rFonts w:ascii="Trebuchet MS" w:hAnsi="Trebuchet MS" w:cs="Arial"/>
          <w:b/>
          <w:bCs/>
          <w:color w:val="000000"/>
          <w:lang w:val="fr-FR"/>
        </w:rPr>
        <w:t xml:space="preserve"> a </w:t>
      </w:r>
      <w:proofErr w:type="spellStart"/>
      <w:r w:rsidRPr="000F0E93">
        <w:rPr>
          <w:rFonts w:ascii="Trebuchet MS" w:hAnsi="Trebuchet MS" w:cs="Arial"/>
          <w:b/>
          <w:bCs/>
          <w:color w:val="000000"/>
          <w:lang w:val="fr-FR"/>
        </w:rPr>
        <w:t>populatiei</w:t>
      </w:r>
      <w:proofErr w:type="spellEnd"/>
      <w:r w:rsidRPr="000F0E93">
        <w:rPr>
          <w:rFonts w:ascii="Trebuchet MS" w:hAnsi="Trebuchet MS" w:cs="Arial"/>
          <w:b/>
          <w:bCs/>
          <w:color w:val="000000"/>
          <w:lang w:val="fr-FR"/>
        </w:rPr>
        <w:t xml:space="preserve"> mai mica de 75 </w:t>
      </w:r>
      <w:proofErr w:type="spellStart"/>
      <w:r w:rsidRPr="000F0E93">
        <w:rPr>
          <w:rFonts w:ascii="Trebuchet MS" w:hAnsi="Trebuchet MS" w:cs="Arial"/>
          <w:b/>
          <w:bCs/>
          <w:color w:val="000000"/>
          <w:lang w:val="fr-FR"/>
        </w:rPr>
        <w:t>loc</w:t>
      </w:r>
      <w:proofErr w:type="spellEnd"/>
      <w:r w:rsidRPr="000F0E93">
        <w:rPr>
          <w:rFonts w:ascii="Trebuchet MS" w:hAnsi="Trebuchet MS" w:cs="Arial"/>
          <w:b/>
          <w:bCs/>
          <w:color w:val="000000"/>
          <w:lang w:val="fr-FR"/>
        </w:rPr>
        <w:t>/</w:t>
      </w:r>
      <w:r w:rsidRPr="000F0E93">
        <w:rPr>
          <w:rFonts w:ascii="Trebuchet MS" w:hAnsi="Trebuchet MS" w:cs="Arial"/>
          <w:b/>
        </w:rPr>
        <w:t>km</w:t>
      </w:r>
      <w:r w:rsidRPr="000F0E93">
        <w:rPr>
          <w:rFonts w:ascii="Trebuchet MS" w:hAnsi="Trebuchet MS" w:cs="Arial"/>
          <w:b/>
          <w:vertAlign w:val="superscript"/>
        </w:rPr>
        <w:t>2</w:t>
      </w:r>
      <w:r w:rsidRPr="000F0E93">
        <w:rPr>
          <w:rFonts w:ascii="Trebuchet MS" w:hAnsi="Trebuchet MS" w:cs="Trebuchet MS"/>
          <w:b/>
          <w:color w:val="000000"/>
          <w:lang w:val="fr-FR"/>
        </w:rPr>
        <w:t>.</w:t>
      </w:r>
    </w:p>
    <w:p w:rsidR="000C4FC6" w:rsidRPr="000F0E93" w:rsidRDefault="00BF677D" w:rsidP="000F0E93">
      <w:pPr>
        <w:spacing w:after="0" w:line="276" w:lineRule="auto"/>
        <w:jc w:val="both"/>
        <w:rPr>
          <w:rFonts w:ascii="Trebuchet MS" w:hAnsi="Trebuchet MS"/>
        </w:rPr>
      </w:pPr>
      <w:r w:rsidRPr="000F0E93">
        <w:rPr>
          <w:rFonts w:ascii="Trebuchet MS" w:hAnsi="Trebuchet MS" w:cs="Arial"/>
        </w:rPr>
        <w:tab/>
      </w:r>
      <w:r w:rsidRPr="000F0E93">
        <w:rPr>
          <w:rFonts w:ascii="Trebuchet MS" w:hAnsi="Trebuchet MS"/>
        </w:rPr>
        <w:t xml:space="preserve">Conform datelor disponibile din </w:t>
      </w:r>
      <w:r w:rsidRPr="000F0E93">
        <w:rPr>
          <w:rFonts w:ascii="Trebuchet MS" w:hAnsi="Trebuchet MS" w:cs="Arial"/>
        </w:rPr>
        <w:t>Recensământul Populației și Locuințelor din anul 2011</w:t>
      </w:r>
      <w:r w:rsidRPr="000F0E93">
        <w:rPr>
          <w:rFonts w:ascii="Trebuchet MS" w:hAnsi="Trebuchet MS"/>
        </w:rPr>
        <w:t>, structura populație în funcție de etnie arată prezența populației rome (</w:t>
      </w:r>
      <w:r w:rsidR="00B937B6" w:rsidRPr="000F0E93">
        <w:rPr>
          <w:rFonts w:ascii="Trebuchet MS" w:hAnsi="Trebuchet MS"/>
        </w:rPr>
        <w:t>12,9</w:t>
      </w:r>
      <w:r w:rsidRPr="000F0E93">
        <w:rPr>
          <w:rFonts w:ascii="Trebuchet MS" w:hAnsi="Trebuchet MS"/>
        </w:rPr>
        <w:t xml:space="preserve">% - </w:t>
      </w:r>
      <w:r w:rsidR="00B937B6" w:rsidRPr="000F0E93">
        <w:rPr>
          <w:rFonts w:ascii="Trebuchet MS" w:hAnsi="Trebuchet MS"/>
        </w:rPr>
        <w:t>5.061</w:t>
      </w:r>
      <w:r w:rsidRPr="000F0E93">
        <w:rPr>
          <w:rFonts w:ascii="Trebuchet MS" w:hAnsi="Trebuchet MS"/>
        </w:rPr>
        <w:t xml:space="preserve"> de persoane) în cadrul teritoriului. Cele mai mari comunități etnice în raport cu populația totală </w:t>
      </w:r>
      <w:r w:rsidR="00B937B6" w:rsidRPr="000F0E93">
        <w:rPr>
          <w:rFonts w:ascii="Trebuchet MS" w:hAnsi="Trebuchet MS"/>
        </w:rPr>
        <w:t>a localității</w:t>
      </w:r>
      <w:r w:rsidRPr="000F0E93">
        <w:rPr>
          <w:rFonts w:ascii="Trebuchet MS" w:hAnsi="Trebuchet MS"/>
        </w:rPr>
        <w:t xml:space="preserve"> se regăsesc în </w:t>
      </w:r>
      <w:r w:rsidR="00B937B6" w:rsidRPr="000F0E93">
        <w:rPr>
          <w:rFonts w:ascii="Trebuchet MS" w:hAnsi="Trebuchet MS"/>
        </w:rPr>
        <w:t>Cerat (34,1</w:t>
      </w:r>
      <w:r w:rsidRPr="000F0E93">
        <w:rPr>
          <w:rFonts w:ascii="Trebuchet MS" w:hAnsi="Trebuchet MS"/>
        </w:rPr>
        <w:t xml:space="preserve">%), </w:t>
      </w:r>
      <w:r w:rsidR="00B937B6" w:rsidRPr="000F0E93">
        <w:rPr>
          <w:rFonts w:ascii="Trebuchet MS" w:hAnsi="Trebuchet MS"/>
        </w:rPr>
        <w:t>Lipovu (33,8%), Calopăr (18,3%), Radovan (11,6%), Segarcea (11,6%), Podari (9,2%) și Siliștea Crucii (9,1%). În restul comunelor, ponderea persoanelor de etnie romă este de sub 1%</w:t>
      </w:r>
      <w:r w:rsidRPr="000F0E93">
        <w:rPr>
          <w:rFonts w:ascii="Trebuchet MS" w:hAnsi="Trebuchet MS"/>
        </w:rPr>
        <w:t>. De asemenea, din punct de vedere religios, teritoriul este caracterizat de tradiții și obiceiuri comune, populația fiind în foarte mare măsură</w:t>
      </w:r>
      <w:r w:rsidR="00137680" w:rsidRPr="000F0E93">
        <w:rPr>
          <w:rFonts w:ascii="Trebuchet MS" w:hAnsi="Trebuchet MS"/>
        </w:rPr>
        <w:t xml:space="preserve"> creștin-ortodoxă (95,5</w:t>
      </w:r>
      <w:r w:rsidRPr="000F0E93">
        <w:rPr>
          <w:rFonts w:ascii="Trebuchet MS" w:hAnsi="Trebuchet MS"/>
        </w:rPr>
        <w:t>%).</w:t>
      </w:r>
    </w:p>
    <w:p w:rsidR="000C4FC6" w:rsidRPr="000F0E93" w:rsidRDefault="000C4FC6" w:rsidP="000F0E93">
      <w:pPr>
        <w:spacing w:after="0" w:line="276" w:lineRule="auto"/>
        <w:jc w:val="both"/>
        <w:rPr>
          <w:rFonts w:ascii="Trebuchet MS" w:hAnsi="Trebuchet MS" w:cs="Arial"/>
          <w:i/>
        </w:rPr>
      </w:pPr>
      <w:r w:rsidRPr="000F0E93">
        <w:rPr>
          <w:rFonts w:ascii="Trebuchet MS" w:hAnsi="Trebuchet MS" w:cs="Arial"/>
          <w:i/>
        </w:rPr>
        <w:t xml:space="preserve">Figura </w:t>
      </w:r>
      <w:r w:rsidR="00F92B8B" w:rsidRPr="000F0E93">
        <w:rPr>
          <w:rFonts w:ascii="Trebuchet MS" w:hAnsi="Trebuchet MS" w:cs="Arial"/>
          <w:i/>
        </w:rPr>
        <w:t>1</w:t>
      </w:r>
      <w:r w:rsidRPr="000F0E93">
        <w:rPr>
          <w:rFonts w:ascii="Trebuchet MS" w:hAnsi="Trebuchet MS" w:cs="Arial"/>
          <w:i/>
        </w:rPr>
        <w:t xml:space="preserve">. Evoluția demografică și </w:t>
      </w:r>
      <w:r w:rsidR="00BF677D" w:rsidRPr="000F0E93">
        <w:rPr>
          <w:rFonts w:ascii="Trebuchet MS" w:hAnsi="Trebuchet MS" w:cs="Arial"/>
          <w:i/>
        </w:rPr>
        <w:t>indicele dezvoltării umane locale în localitățile componente parteneriatul GAL Segarcea</w:t>
      </w:r>
    </w:p>
    <w:p w:rsidR="000C4FC6" w:rsidRPr="000F0E93" w:rsidRDefault="00BF677D" w:rsidP="000F0E93">
      <w:pPr>
        <w:spacing w:after="0" w:line="276" w:lineRule="auto"/>
        <w:jc w:val="both"/>
        <w:rPr>
          <w:rFonts w:ascii="Trebuchet MS" w:hAnsi="Trebuchet MS" w:cs="Arial"/>
        </w:rPr>
      </w:pPr>
      <w:r w:rsidRPr="000F0E93">
        <w:rPr>
          <w:rFonts w:ascii="Trebuchet MS" w:hAnsi="Trebuchet MS"/>
          <w:noProof/>
          <w:lang w:val="en-US"/>
        </w:rPr>
        <w:drawing>
          <wp:inline distT="0" distB="0" distL="0" distR="0">
            <wp:extent cx="3083442" cy="2115185"/>
            <wp:effectExtent l="0" t="0" r="3175"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0C4FC6" w:rsidRPr="000F0E93">
        <w:rPr>
          <w:rFonts w:ascii="Trebuchet MS" w:hAnsi="Trebuchet MS"/>
          <w:noProof/>
          <w:lang w:eastAsia="ro-RO"/>
        </w:rPr>
        <w:t xml:space="preserve"> </w:t>
      </w:r>
      <w:r w:rsidRPr="000F0E93">
        <w:rPr>
          <w:rFonts w:ascii="Trebuchet MS" w:hAnsi="Trebuchet MS"/>
          <w:noProof/>
          <w:lang w:val="en-US"/>
        </w:rPr>
        <w:drawing>
          <wp:inline distT="0" distB="0" distL="0" distR="0">
            <wp:extent cx="2625725" cy="2118080"/>
            <wp:effectExtent l="0" t="0" r="3175" b="1587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C4FC6" w:rsidRPr="000F0E93" w:rsidRDefault="000C4FC6" w:rsidP="000F0E93">
      <w:pPr>
        <w:spacing w:after="0" w:line="276" w:lineRule="auto"/>
        <w:jc w:val="center"/>
        <w:rPr>
          <w:rFonts w:ascii="Trebuchet MS" w:hAnsi="Trebuchet MS" w:cs="Arial"/>
          <w:u w:val="single"/>
        </w:rPr>
      </w:pPr>
      <w:r w:rsidRPr="000F0E93">
        <w:rPr>
          <w:rFonts w:ascii="Trebuchet MS" w:hAnsi="Trebuchet MS" w:cs="Arial"/>
          <w:u w:val="single"/>
        </w:rPr>
        <w:t xml:space="preserve">Sursa: </w:t>
      </w:r>
      <w:r w:rsidR="00A72D71" w:rsidRPr="000F0E93">
        <w:rPr>
          <w:rFonts w:ascii="Trebuchet MS" w:hAnsi="Trebuchet MS" w:cs="Arial"/>
          <w:u w:val="single"/>
        </w:rPr>
        <w:t xml:space="preserve">Studiul ”Furnizarea de contribuții pentru elaborarea unui proiect de strategie națională și plan de acțiuni privind incluziunea socială și reducerea sărăciei (2014-2010)” și datele </w:t>
      </w:r>
      <w:r w:rsidRPr="000F0E93">
        <w:rPr>
          <w:rFonts w:ascii="Trebuchet MS" w:hAnsi="Trebuchet MS" w:cs="Arial"/>
          <w:u w:val="single"/>
        </w:rPr>
        <w:t>Institutul Național de Statistică,</w:t>
      </w:r>
      <w:r w:rsidR="00BF677D" w:rsidRPr="000F0E93">
        <w:rPr>
          <w:rFonts w:ascii="Trebuchet MS" w:hAnsi="Trebuchet MS" w:cs="Arial"/>
          <w:u w:val="single"/>
        </w:rPr>
        <w:t xml:space="preserve"> </w:t>
      </w:r>
      <w:r w:rsidRPr="000F0E93">
        <w:rPr>
          <w:rFonts w:ascii="Trebuchet MS" w:hAnsi="Trebuchet MS" w:cs="Arial"/>
          <w:u w:val="single"/>
        </w:rPr>
        <w:t xml:space="preserve"> link:  </w:t>
      </w:r>
      <w:hyperlink r:id="rId10" w:history="1">
        <w:r w:rsidRPr="000F0E93">
          <w:rPr>
            <w:rStyle w:val="Hyperlink"/>
            <w:rFonts w:ascii="Trebuchet MS" w:hAnsi="Trebuchet MS" w:cs="Arial"/>
            <w:color w:val="auto"/>
          </w:rPr>
          <w:t>http://statistici.insse.ro/shop/index.jsp?page=tempo3&amp;lang=ro&amp;ind=POP107D</w:t>
        </w:r>
      </w:hyperlink>
      <w:bookmarkStart w:id="0" w:name="_GoBack"/>
      <w:bookmarkEnd w:id="0"/>
    </w:p>
    <w:p w:rsidR="000C4FC6" w:rsidRPr="000F0E93" w:rsidRDefault="000C4FC6" w:rsidP="000F0E93">
      <w:pPr>
        <w:spacing w:after="0" w:line="276" w:lineRule="auto"/>
        <w:ind w:firstLine="708"/>
        <w:jc w:val="both"/>
        <w:rPr>
          <w:rFonts w:ascii="Trebuchet MS" w:eastAsia="Times New Roman" w:hAnsi="Trebuchet MS"/>
          <w:lang w:eastAsia="ro-RO"/>
        </w:rPr>
      </w:pPr>
      <w:r w:rsidRPr="000F0E93">
        <w:rPr>
          <w:rFonts w:ascii="Trebuchet MS" w:hAnsi="Trebuchet MS" w:cs="Arial"/>
        </w:rPr>
        <w:lastRenderedPageBreak/>
        <w:t>Analizând indicele dezvoltării umane locale</w:t>
      </w:r>
      <w:r w:rsidR="003676CF" w:rsidRPr="000F0E93">
        <w:rPr>
          <w:rFonts w:ascii="Trebuchet MS" w:hAnsi="Trebuchet MS" w:cs="Arial"/>
        </w:rPr>
        <w:t xml:space="preserve"> (IDUL)</w:t>
      </w:r>
      <w:r w:rsidRPr="000F0E93">
        <w:rPr>
          <w:rFonts w:ascii="Trebuchet MS" w:hAnsi="Trebuchet MS" w:cs="Arial"/>
        </w:rPr>
        <w:t xml:space="preserve">, se observă faptul că există o anumită polarizare în rândul localităților </w:t>
      </w:r>
      <w:r w:rsidR="0006411F" w:rsidRPr="000F0E93">
        <w:rPr>
          <w:rFonts w:ascii="Trebuchet MS" w:hAnsi="Trebuchet MS" w:cs="Arial"/>
        </w:rPr>
        <w:t>GAL</w:t>
      </w:r>
      <w:r w:rsidR="008A40A1" w:rsidRPr="000F0E93">
        <w:rPr>
          <w:rFonts w:ascii="Trebuchet MS" w:hAnsi="Trebuchet MS" w:cs="Arial"/>
        </w:rPr>
        <w:t xml:space="preserve">, indusă </w:t>
      </w:r>
      <w:r w:rsidR="008A40A1" w:rsidRPr="000F0E93">
        <w:rPr>
          <w:rFonts w:ascii="Trebuchet MS" w:eastAsia="Times New Roman" w:hAnsi="Trebuchet MS"/>
          <w:lang w:eastAsia="ro-RO"/>
        </w:rPr>
        <w:t>de infrastructura existentă dar și de condițiile economice individuale</w:t>
      </w:r>
      <w:r w:rsidR="00EF25DC" w:rsidRPr="000F0E93">
        <w:rPr>
          <w:rFonts w:ascii="Trebuchet MS" w:hAnsi="Trebuchet MS" w:cs="Arial"/>
          <w:i/>
        </w:rPr>
        <w:t xml:space="preserve">. </w:t>
      </w:r>
      <w:r w:rsidRPr="000F0E93">
        <w:rPr>
          <w:rFonts w:ascii="Trebuchet MS" w:hAnsi="Trebuchet MS" w:cs="Arial"/>
        </w:rPr>
        <w:t xml:space="preserve">Indicele variază de la minimul de </w:t>
      </w:r>
      <w:r w:rsidR="00780B98" w:rsidRPr="000F0E93">
        <w:rPr>
          <w:rFonts w:ascii="Trebuchet MS" w:hAnsi="Trebuchet MS" w:cs="Arial"/>
        </w:rPr>
        <w:t>28,57</w:t>
      </w:r>
      <w:r w:rsidRPr="000F0E93">
        <w:rPr>
          <w:rFonts w:ascii="Trebuchet MS" w:eastAsia="Times New Roman" w:hAnsi="Trebuchet MS"/>
          <w:lang w:eastAsia="ro-RO"/>
        </w:rPr>
        <w:t xml:space="preserve"> în localitatea </w:t>
      </w:r>
      <w:r w:rsidR="00780B98" w:rsidRPr="000F0E93">
        <w:rPr>
          <w:rFonts w:ascii="Trebuchet MS" w:eastAsia="Times New Roman" w:hAnsi="Trebuchet MS"/>
          <w:lang w:eastAsia="ro-RO"/>
        </w:rPr>
        <w:t xml:space="preserve">Lipovu </w:t>
      </w:r>
      <w:r w:rsidR="009F7A8D" w:rsidRPr="000F0E93">
        <w:rPr>
          <w:rFonts w:ascii="Trebuchet MS" w:eastAsia="Times New Roman" w:hAnsi="Trebuchet MS"/>
          <w:lang w:eastAsia="ro-RO"/>
        </w:rPr>
        <w:t xml:space="preserve">și până la </w:t>
      </w:r>
      <w:r w:rsidR="00780B98" w:rsidRPr="000F0E93">
        <w:rPr>
          <w:rFonts w:ascii="Trebuchet MS" w:eastAsia="Times New Roman" w:hAnsi="Trebuchet MS"/>
          <w:lang w:eastAsia="ro-RO"/>
        </w:rPr>
        <w:t>68,72</w:t>
      </w:r>
      <w:r w:rsidRPr="000F0E93">
        <w:rPr>
          <w:rFonts w:ascii="Trebuchet MS" w:eastAsia="Times New Roman" w:hAnsi="Trebuchet MS"/>
          <w:lang w:eastAsia="ro-RO"/>
        </w:rPr>
        <w:t xml:space="preserve"> în localitatea </w:t>
      </w:r>
      <w:r w:rsidR="00780B98" w:rsidRPr="000F0E93">
        <w:rPr>
          <w:rFonts w:ascii="Trebuchet MS" w:eastAsia="Times New Roman" w:hAnsi="Trebuchet MS"/>
          <w:lang w:eastAsia="ro-RO"/>
        </w:rPr>
        <w:t>Podari</w:t>
      </w:r>
      <w:r w:rsidRPr="000F0E93">
        <w:rPr>
          <w:rFonts w:ascii="Trebuchet MS" w:eastAsia="Times New Roman" w:hAnsi="Trebuchet MS"/>
          <w:lang w:eastAsia="ro-RO"/>
        </w:rPr>
        <w:t>.</w:t>
      </w:r>
      <w:r w:rsidR="00CD0911" w:rsidRPr="000F0E93">
        <w:rPr>
          <w:rFonts w:ascii="Trebuchet MS" w:eastAsia="Times New Roman" w:hAnsi="Trebuchet MS"/>
          <w:lang w:eastAsia="ro-RO"/>
        </w:rPr>
        <w:t xml:space="preserve"> Mai exact,</w:t>
      </w:r>
      <w:r w:rsidR="003676CF" w:rsidRPr="000F0E93">
        <w:rPr>
          <w:rFonts w:ascii="Trebuchet MS" w:eastAsia="Times New Roman" w:hAnsi="Trebuchet MS"/>
          <w:lang w:eastAsia="ro-RO"/>
        </w:rPr>
        <w:t xml:space="preserve"> în </w:t>
      </w:r>
      <w:r w:rsidR="00780B98" w:rsidRPr="000F0E93">
        <w:rPr>
          <w:rFonts w:ascii="Trebuchet MS" w:eastAsia="Times New Roman" w:hAnsi="Trebuchet MS"/>
          <w:lang w:eastAsia="ro-RO"/>
        </w:rPr>
        <w:t>9 din cele 12</w:t>
      </w:r>
      <w:r w:rsidR="003676CF" w:rsidRPr="000F0E93">
        <w:rPr>
          <w:rFonts w:ascii="Trebuchet MS" w:eastAsia="Times New Roman" w:hAnsi="Trebuchet MS"/>
          <w:lang w:eastAsia="ro-RO"/>
        </w:rPr>
        <w:t xml:space="preserve"> de localități</w:t>
      </w:r>
      <w:r w:rsidR="008A40A1" w:rsidRPr="000F0E93">
        <w:rPr>
          <w:rFonts w:ascii="Trebuchet MS" w:eastAsia="Times New Roman" w:hAnsi="Trebuchet MS"/>
          <w:lang w:eastAsia="ro-RO"/>
        </w:rPr>
        <w:t xml:space="preserve"> (</w:t>
      </w:r>
      <w:r w:rsidR="00780B98" w:rsidRPr="000F0E93">
        <w:rPr>
          <w:rFonts w:ascii="Trebuchet MS" w:eastAsia="Times New Roman" w:hAnsi="Trebuchet MS"/>
          <w:lang w:eastAsia="ro-RO"/>
        </w:rPr>
        <w:t>Lipovu – 28,57</w:t>
      </w:r>
      <w:r w:rsidR="008A40A1" w:rsidRPr="000F0E93">
        <w:rPr>
          <w:rFonts w:ascii="Trebuchet MS" w:eastAsia="Times New Roman" w:hAnsi="Trebuchet MS"/>
          <w:lang w:eastAsia="ro-RO"/>
        </w:rPr>
        <w:t xml:space="preserve">; </w:t>
      </w:r>
      <w:r w:rsidR="00780B98" w:rsidRPr="000F0E93">
        <w:rPr>
          <w:rFonts w:ascii="Trebuchet MS" w:eastAsia="Times New Roman" w:hAnsi="Trebuchet MS"/>
          <w:lang w:eastAsia="ro-RO"/>
        </w:rPr>
        <w:t>Radovan</w:t>
      </w:r>
      <w:r w:rsidR="008A40A1" w:rsidRPr="000F0E93">
        <w:rPr>
          <w:rFonts w:ascii="Trebuchet MS" w:eastAsia="Times New Roman" w:hAnsi="Trebuchet MS"/>
          <w:lang w:eastAsia="ro-RO"/>
        </w:rPr>
        <w:t xml:space="preserve"> </w:t>
      </w:r>
      <w:r w:rsidR="00780B98" w:rsidRPr="000F0E93">
        <w:rPr>
          <w:rFonts w:ascii="Trebuchet MS" w:eastAsia="Times New Roman" w:hAnsi="Trebuchet MS"/>
          <w:lang w:eastAsia="ro-RO"/>
        </w:rPr>
        <w:t>– 32,64</w:t>
      </w:r>
      <w:r w:rsidR="008A40A1" w:rsidRPr="000F0E93">
        <w:rPr>
          <w:rFonts w:ascii="Trebuchet MS" w:eastAsia="Times New Roman" w:hAnsi="Trebuchet MS"/>
          <w:lang w:eastAsia="ro-RO"/>
        </w:rPr>
        <w:t xml:space="preserve">; </w:t>
      </w:r>
      <w:r w:rsidR="00780B98" w:rsidRPr="000F0E93">
        <w:rPr>
          <w:rFonts w:ascii="Trebuchet MS" w:eastAsia="Times New Roman" w:hAnsi="Trebuchet MS"/>
          <w:lang w:eastAsia="ro-RO"/>
        </w:rPr>
        <w:t>Întorsura – 39,53</w:t>
      </w:r>
      <w:r w:rsidR="008A40A1" w:rsidRPr="000F0E93">
        <w:rPr>
          <w:rFonts w:ascii="Trebuchet MS" w:eastAsia="Times New Roman" w:hAnsi="Trebuchet MS"/>
          <w:lang w:eastAsia="ro-RO"/>
        </w:rPr>
        <w:t xml:space="preserve">; </w:t>
      </w:r>
      <w:r w:rsidR="00780B98" w:rsidRPr="000F0E93">
        <w:rPr>
          <w:rFonts w:ascii="Trebuchet MS" w:eastAsia="Times New Roman" w:hAnsi="Trebuchet MS"/>
          <w:lang w:eastAsia="ro-RO"/>
        </w:rPr>
        <w:t>Cioroiași – 40,59; Dobrești – 44,08; Drănic – 44,39; Calopăr – 45,02; Cerat – 45,64; Siliștea Crucii – 54,49</w:t>
      </w:r>
      <w:r w:rsidR="008A40A1" w:rsidRPr="000F0E93">
        <w:rPr>
          <w:rFonts w:ascii="Trebuchet MS" w:eastAsia="Times New Roman" w:hAnsi="Trebuchet MS"/>
          <w:lang w:eastAsia="ro-RO"/>
        </w:rPr>
        <w:t>)</w:t>
      </w:r>
      <w:r w:rsidR="003676CF" w:rsidRPr="000F0E93">
        <w:rPr>
          <w:rFonts w:ascii="Trebuchet MS" w:eastAsia="Times New Roman" w:hAnsi="Trebuchet MS"/>
          <w:lang w:eastAsia="ro-RO"/>
        </w:rPr>
        <w:t xml:space="preserve">, valoarea IDUL este mai mică de 55, ceea ce indică o zonă săracă. </w:t>
      </w:r>
      <w:r w:rsidR="00CD0911" w:rsidRPr="000F0E93">
        <w:rPr>
          <w:rFonts w:ascii="Trebuchet MS" w:eastAsia="Times New Roman" w:hAnsi="Trebuchet MS"/>
          <w:lang w:eastAsia="ro-RO"/>
        </w:rPr>
        <w:t>Privit la nivelul întregului teritoriu, m</w:t>
      </w:r>
      <w:r w:rsidRPr="000F0E93">
        <w:rPr>
          <w:rFonts w:ascii="Trebuchet MS" w:eastAsia="Times New Roman" w:hAnsi="Trebuchet MS"/>
          <w:lang w:eastAsia="ro-RO"/>
        </w:rPr>
        <w:t>edia</w:t>
      </w:r>
      <w:r w:rsidR="00780B98" w:rsidRPr="000F0E93">
        <w:rPr>
          <w:rFonts w:ascii="Trebuchet MS" w:eastAsia="Times New Roman" w:hAnsi="Trebuchet MS"/>
          <w:lang w:eastAsia="ro-RO"/>
        </w:rPr>
        <w:t xml:space="preserve"> acestui indicator este de 46,63</w:t>
      </w:r>
      <w:r w:rsidR="00C90E84" w:rsidRPr="000F0E93">
        <w:rPr>
          <w:rFonts w:ascii="Trebuchet MS" w:eastAsia="Times New Roman" w:hAnsi="Trebuchet MS"/>
          <w:lang w:eastAsia="ro-RO"/>
        </w:rPr>
        <w:t xml:space="preserve">, ceea ce cataloghează acest teritoriu ca fiind </w:t>
      </w:r>
      <w:r w:rsidR="00CD0911" w:rsidRPr="000F0E93">
        <w:rPr>
          <w:rFonts w:ascii="Trebuchet MS" w:eastAsia="Times New Roman" w:hAnsi="Trebuchet MS"/>
          <w:lang w:eastAsia="ro-RO"/>
        </w:rPr>
        <w:t>o zonă săracă</w:t>
      </w:r>
      <w:r w:rsidR="008A40A1" w:rsidRPr="000F0E93">
        <w:rPr>
          <w:rFonts w:ascii="Trebuchet MS" w:eastAsia="Times New Roman" w:hAnsi="Trebuchet MS"/>
          <w:lang w:eastAsia="ro-RO"/>
        </w:rPr>
        <w:t>.</w:t>
      </w:r>
      <w:r w:rsidR="00042F56">
        <w:rPr>
          <w:rFonts w:ascii="Trebuchet MS" w:eastAsia="Times New Roman" w:hAnsi="Trebuchet MS"/>
          <w:lang w:eastAsia="ro-RO"/>
        </w:rPr>
        <w:t xml:space="preserve"> A se consulta in acest sens </w:t>
      </w:r>
      <w:r w:rsidR="00042F56">
        <w:rPr>
          <w:rFonts w:ascii="Trebuchet MS" w:eastAsia="Times New Roman" w:hAnsi="Trebuchet MS"/>
          <w:u w:val="single"/>
          <w:lang w:eastAsia="ro-RO"/>
        </w:rPr>
        <w:t>Anexa 2</w:t>
      </w:r>
      <w:r w:rsidR="00042F56">
        <w:rPr>
          <w:rFonts w:ascii="Trebuchet MS" w:eastAsia="Times New Roman" w:hAnsi="Trebuchet MS"/>
          <w:lang w:eastAsia="ro-RO"/>
        </w:rPr>
        <w:t>.</w:t>
      </w:r>
    </w:p>
    <w:p w:rsidR="0006411F" w:rsidRPr="000F0E93" w:rsidRDefault="0006411F" w:rsidP="000F0E93">
      <w:pPr>
        <w:spacing w:after="0" w:line="276" w:lineRule="auto"/>
        <w:jc w:val="both"/>
        <w:rPr>
          <w:rFonts w:ascii="Trebuchet MS" w:eastAsia="Times New Roman" w:hAnsi="Trebuchet MS"/>
          <w:b/>
          <w:lang w:eastAsia="ro-RO"/>
        </w:rPr>
      </w:pPr>
      <w:r w:rsidRPr="000F0E93">
        <w:rPr>
          <w:rFonts w:ascii="Trebuchet MS" w:hAnsi="Trebuchet MS" w:cs="Arial"/>
          <w:b/>
          <w:bCs/>
          <w:color w:val="000000"/>
          <w:lang w:val="fr-FR"/>
        </w:rPr>
        <w:t xml:space="preserve">SDL </w:t>
      </w:r>
      <w:proofErr w:type="spellStart"/>
      <w:r w:rsidRPr="000F0E93">
        <w:rPr>
          <w:rFonts w:ascii="Trebuchet MS" w:hAnsi="Trebuchet MS" w:cs="Arial"/>
          <w:b/>
          <w:bCs/>
          <w:color w:val="000000"/>
          <w:lang w:val="fr-FR"/>
        </w:rPr>
        <w:t>demonstrează</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conformitatea</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cu</w:t>
      </w:r>
      <w:proofErr w:type="spellEnd"/>
      <w:r w:rsidRPr="000F0E93">
        <w:rPr>
          <w:rFonts w:ascii="Trebuchet MS" w:hAnsi="Trebuchet MS" w:cs="Arial"/>
          <w:b/>
          <w:bCs/>
          <w:color w:val="000000"/>
          <w:lang w:val="fr-FR"/>
        </w:rPr>
        <w:t xml:space="preserve"> C.S. 1.2 </w:t>
      </w:r>
      <w:proofErr w:type="spellStart"/>
      <w:r w:rsidRPr="000F0E93">
        <w:rPr>
          <w:rFonts w:ascii="Trebuchet MS" w:hAnsi="Trebuchet MS" w:cs="Arial"/>
          <w:b/>
          <w:bCs/>
          <w:color w:val="000000"/>
          <w:lang w:val="fr-FR"/>
        </w:rPr>
        <w:t>prin</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faptul</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că</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teritoriul</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acoperit</w:t>
      </w:r>
      <w:proofErr w:type="spellEnd"/>
      <w:r w:rsidRPr="000F0E93">
        <w:rPr>
          <w:rFonts w:ascii="Trebuchet MS" w:hAnsi="Trebuchet MS" w:cs="Arial"/>
          <w:b/>
          <w:bCs/>
          <w:color w:val="000000"/>
          <w:lang w:val="fr-FR"/>
        </w:rPr>
        <w:t xml:space="preserve"> de </w:t>
      </w:r>
      <w:proofErr w:type="spellStart"/>
      <w:r w:rsidRPr="000F0E93">
        <w:rPr>
          <w:rFonts w:ascii="Trebuchet MS" w:hAnsi="Trebuchet MS" w:cs="Arial"/>
          <w:b/>
          <w:bCs/>
          <w:color w:val="000000"/>
          <w:lang w:val="fr-FR"/>
        </w:rPr>
        <w:t>parteneriat</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cuprinde</w:t>
      </w:r>
      <w:proofErr w:type="spellEnd"/>
      <w:r w:rsidRPr="000F0E93">
        <w:rPr>
          <w:rFonts w:ascii="Trebuchet MS" w:hAnsi="Trebuchet MS" w:cs="Arial"/>
          <w:b/>
          <w:bCs/>
          <w:color w:val="000000"/>
          <w:lang w:val="fr-FR"/>
        </w:rPr>
        <w:t xml:space="preserve"> zone </w:t>
      </w:r>
      <w:proofErr w:type="spellStart"/>
      <w:r w:rsidRPr="000F0E93">
        <w:rPr>
          <w:rFonts w:ascii="Trebuchet MS" w:hAnsi="Trebuchet MS" w:cs="Arial"/>
          <w:b/>
          <w:bCs/>
          <w:color w:val="000000"/>
          <w:lang w:val="fr-FR"/>
        </w:rPr>
        <w:t>sarace</w:t>
      </w:r>
      <w:proofErr w:type="spellEnd"/>
      <w:r w:rsidRPr="000F0E93">
        <w:rPr>
          <w:rFonts w:ascii="Trebuchet MS" w:hAnsi="Trebuchet MS" w:cs="Trebuchet MS"/>
          <w:b/>
          <w:color w:val="000000"/>
          <w:lang w:val="fr-FR"/>
        </w:rPr>
        <w:t>.</w:t>
      </w:r>
    </w:p>
    <w:p w:rsidR="00567A99" w:rsidRPr="000F0E93" w:rsidRDefault="0006411F" w:rsidP="000F0E93">
      <w:pPr>
        <w:spacing w:after="0" w:line="276" w:lineRule="auto"/>
        <w:ind w:firstLine="708"/>
        <w:jc w:val="both"/>
        <w:rPr>
          <w:rFonts w:ascii="Trebuchet MS" w:hAnsi="Trebuchet MS" w:cs="Arial"/>
        </w:rPr>
      </w:pPr>
      <w:r w:rsidRPr="000F0E93">
        <w:rPr>
          <w:rFonts w:ascii="Trebuchet MS" w:hAnsi="Trebuchet MS" w:cs="Arial"/>
        </w:rPr>
        <w:t>Referitor la</w:t>
      </w:r>
      <w:r w:rsidR="000C4FC6" w:rsidRPr="000F0E93">
        <w:rPr>
          <w:rFonts w:ascii="Trebuchet MS" w:hAnsi="Trebuchet MS" w:cs="Arial"/>
        </w:rPr>
        <w:t xml:space="preserve"> accesibilit</w:t>
      </w:r>
      <w:r w:rsidRPr="000F0E93">
        <w:rPr>
          <w:rFonts w:ascii="Trebuchet MS" w:hAnsi="Trebuchet MS" w:cs="Arial"/>
        </w:rPr>
        <w:t>ate</w:t>
      </w:r>
      <w:r w:rsidR="000C4FC6" w:rsidRPr="000F0E93">
        <w:rPr>
          <w:rFonts w:ascii="Trebuchet MS" w:hAnsi="Trebuchet MS" w:cs="Arial"/>
        </w:rPr>
        <w:t xml:space="preserve">, localitățile </w:t>
      </w:r>
      <w:r w:rsidRPr="000F0E93">
        <w:rPr>
          <w:rFonts w:ascii="Trebuchet MS" w:hAnsi="Trebuchet MS" w:cs="Arial"/>
        </w:rPr>
        <w:t>GAL</w:t>
      </w:r>
      <w:r w:rsidR="000C4FC6" w:rsidRPr="000F0E93">
        <w:rPr>
          <w:rFonts w:ascii="Trebuchet MS" w:hAnsi="Trebuchet MS" w:cs="Arial"/>
        </w:rPr>
        <w:t xml:space="preserve"> sunt situate în</w:t>
      </w:r>
      <w:r w:rsidR="00691D91" w:rsidRPr="000F0E93">
        <w:rPr>
          <w:rFonts w:ascii="Trebuchet MS" w:hAnsi="Trebuchet MS" w:cs="Arial"/>
        </w:rPr>
        <w:t xml:space="preserve"> imediata</w:t>
      </w:r>
      <w:r w:rsidR="000C4FC6" w:rsidRPr="000F0E93">
        <w:rPr>
          <w:rFonts w:ascii="Trebuchet MS" w:hAnsi="Trebuchet MS" w:cs="Arial"/>
        </w:rPr>
        <w:t xml:space="preserve"> </w:t>
      </w:r>
      <w:r w:rsidR="00691D91" w:rsidRPr="000F0E93">
        <w:rPr>
          <w:rFonts w:ascii="Trebuchet MS" w:hAnsi="Trebuchet MS" w:cs="Arial"/>
        </w:rPr>
        <w:t>proximitate a</w:t>
      </w:r>
      <w:r w:rsidR="000C4FC6" w:rsidRPr="000F0E93">
        <w:rPr>
          <w:rFonts w:ascii="Trebuchet MS" w:hAnsi="Trebuchet MS" w:cs="Arial"/>
        </w:rPr>
        <w:t xml:space="preserve"> Municipiului </w:t>
      </w:r>
      <w:r w:rsidR="00BF6A9A" w:rsidRPr="000F0E93">
        <w:rPr>
          <w:rFonts w:ascii="Trebuchet MS" w:hAnsi="Trebuchet MS" w:cs="Arial"/>
        </w:rPr>
        <w:t>Craiova</w:t>
      </w:r>
      <w:r w:rsidR="002B0701" w:rsidRPr="000F0E93">
        <w:rPr>
          <w:rFonts w:ascii="Trebuchet MS" w:hAnsi="Trebuchet MS" w:cs="Arial"/>
        </w:rPr>
        <w:t xml:space="preserve"> </w:t>
      </w:r>
      <w:r w:rsidR="000C4FC6" w:rsidRPr="000F0E93">
        <w:rPr>
          <w:rFonts w:ascii="Trebuchet MS" w:hAnsi="Trebuchet MS" w:cs="Arial"/>
        </w:rPr>
        <w:t>ș</w:t>
      </w:r>
      <w:r w:rsidRPr="000F0E93">
        <w:rPr>
          <w:rFonts w:ascii="Trebuchet MS" w:hAnsi="Trebuchet MS" w:cs="Arial"/>
        </w:rPr>
        <w:t xml:space="preserve">i a centrelor urbane </w:t>
      </w:r>
      <w:r w:rsidR="00691D91" w:rsidRPr="000F0E93">
        <w:rPr>
          <w:rFonts w:ascii="Trebuchet MS" w:hAnsi="Trebuchet MS" w:cs="Arial"/>
        </w:rPr>
        <w:t>Calafat,</w:t>
      </w:r>
      <w:r w:rsidR="000C4FC6" w:rsidRPr="000F0E93">
        <w:rPr>
          <w:rFonts w:ascii="Trebuchet MS" w:hAnsi="Trebuchet MS" w:cs="Arial"/>
        </w:rPr>
        <w:t xml:space="preserve"> </w:t>
      </w:r>
      <w:r w:rsidR="002B0701" w:rsidRPr="000F0E93">
        <w:rPr>
          <w:rFonts w:ascii="Trebuchet MS" w:hAnsi="Trebuchet MS" w:cs="Arial"/>
        </w:rPr>
        <w:t>Caracal</w:t>
      </w:r>
      <w:r w:rsidR="00691D91" w:rsidRPr="000F0E93">
        <w:rPr>
          <w:rFonts w:ascii="Trebuchet MS" w:hAnsi="Trebuchet MS" w:cs="Arial"/>
        </w:rPr>
        <w:t>, Corabia, Drobeta Turnu Severin</w:t>
      </w:r>
      <w:r w:rsidR="000C4FC6" w:rsidRPr="000F0E93">
        <w:rPr>
          <w:rFonts w:ascii="Trebuchet MS" w:hAnsi="Trebuchet MS" w:cs="Arial"/>
        </w:rPr>
        <w:t xml:space="preserve"> și </w:t>
      </w:r>
      <w:r w:rsidR="002B0701" w:rsidRPr="000F0E93">
        <w:rPr>
          <w:rFonts w:ascii="Trebuchet MS" w:hAnsi="Trebuchet MS" w:cs="Arial"/>
        </w:rPr>
        <w:t xml:space="preserve">Vidin </w:t>
      </w:r>
      <w:r w:rsidR="00691D91" w:rsidRPr="000F0E93">
        <w:rPr>
          <w:rFonts w:ascii="Trebuchet MS" w:hAnsi="Trebuchet MS" w:cs="Arial"/>
        </w:rPr>
        <w:t>(</w:t>
      </w:r>
      <w:r w:rsidR="002B0701" w:rsidRPr="000F0E93">
        <w:rPr>
          <w:rFonts w:ascii="Trebuchet MS" w:hAnsi="Trebuchet MS" w:cs="Arial"/>
        </w:rPr>
        <w:t>Bulgaria</w:t>
      </w:r>
      <w:r w:rsidRPr="000F0E93">
        <w:rPr>
          <w:rFonts w:ascii="Trebuchet MS" w:hAnsi="Trebuchet MS" w:cs="Arial"/>
        </w:rPr>
        <w:t xml:space="preserve">). Rețeaua rutieră </w:t>
      </w:r>
      <w:r w:rsidR="000C4FC6" w:rsidRPr="000F0E93">
        <w:rPr>
          <w:rFonts w:ascii="Trebuchet MS" w:hAnsi="Trebuchet MS" w:cs="Arial"/>
        </w:rPr>
        <w:t xml:space="preserve">este formată din </w:t>
      </w:r>
      <w:r w:rsidR="003174DA" w:rsidRPr="000F0E93">
        <w:rPr>
          <w:rFonts w:ascii="Trebuchet MS" w:hAnsi="Trebuchet MS" w:cs="Arial"/>
        </w:rPr>
        <w:t xml:space="preserve">drumul </w:t>
      </w:r>
      <w:r w:rsidR="00CD5FB6" w:rsidRPr="000F0E93">
        <w:rPr>
          <w:rFonts w:ascii="Trebuchet MS" w:hAnsi="Trebuchet MS" w:cs="Arial"/>
        </w:rPr>
        <w:t xml:space="preserve">european E79 (Craiova-Calafat) </w:t>
      </w:r>
      <w:r w:rsidR="00B366C9" w:rsidRPr="000F0E93">
        <w:rPr>
          <w:rFonts w:ascii="Trebuchet MS" w:hAnsi="Trebuchet MS" w:cs="Arial"/>
        </w:rPr>
        <w:t>și mai multe drumuri</w:t>
      </w:r>
      <w:r w:rsidR="000C4FC6" w:rsidRPr="000F0E93">
        <w:rPr>
          <w:rFonts w:ascii="Trebuchet MS" w:hAnsi="Trebuchet MS" w:cs="Arial"/>
        </w:rPr>
        <w:t xml:space="preserve"> județene</w:t>
      </w:r>
      <w:r w:rsidR="00CD5FB6" w:rsidRPr="000F0E93">
        <w:rPr>
          <w:rFonts w:ascii="Trebuchet MS" w:hAnsi="Trebuchet MS" w:cs="Arial"/>
        </w:rPr>
        <w:t xml:space="preserve"> (DJ561 Craiova – Segarcea – Bistreţ respectiv </w:t>
      </w:r>
      <w:r w:rsidR="00CD5FB6" w:rsidRPr="000F0E93">
        <w:rPr>
          <w:rFonts w:ascii="Trebuchet MS" w:hAnsi="Trebuchet MS"/>
          <w:noProof/>
        </w:rPr>
        <w:t>DJ 552A: Perisor – Boureni)</w:t>
      </w:r>
      <w:r w:rsidR="00CD5FB6" w:rsidRPr="000F0E93">
        <w:rPr>
          <w:rFonts w:ascii="Trebuchet MS" w:hAnsi="Trebuchet MS" w:cs="Arial"/>
        </w:rPr>
        <w:t xml:space="preserve"> și cele comunale (DC95: Panaghia – Calopăr – Țuglui; DC96 Calopăr – Belcin; DC98 Belcin – Bâzdâna (asfaltat parțial), DC 21 Lipov – Gară Sălcuța; DC9 Cioroiași – Galiciuica)</w:t>
      </w:r>
      <w:r w:rsidR="000C4FC6" w:rsidRPr="000F0E93">
        <w:rPr>
          <w:rFonts w:ascii="Trebuchet MS" w:hAnsi="Trebuchet MS" w:cs="Arial"/>
        </w:rPr>
        <w:t xml:space="preserve"> </w:t>
      </w:r>
      <w:r w:rsidR="00B366C9" w:rsidRPr="000F0E93">
        <w:rPr>
          <w:rFonts w:ascii="Trebuchet MS" w:hAnsi="Trebuchet MS" w:cs="Arial"/>
        </w:rPr>
        <w:t>care fac legătu</w:t>
      </w:r>
      <w:r w:rsidRPr="000F0E93">
        <w:rPr>
          <w:rFonts w:ascii="Trebuchet MS" w:hAnsi="Trebuchet MS" w:cs="Arial"/>
        </w:rPr>
        <w:t>ra între localitățile</w:t>
      </w:r>
      <w:r w:rsidR="00B366C9" w:rsidRPr="000F0E93">
        <w:rPr>
          <w:rFonts w:ascii="Trebuchet MS" w:hAnsi="Trebuchet MS" w:cs="Arial"/>
        </w:rPr>
        <w:t xml:space="preserve"> teritoriului</w:t>
      </w:r>
      <w:r w:rsidR="000C4FC6" w:rsidRPr="000F0E93">
        <w:rPr>
          <w:rFonts w:ascii="Trebuchet MS" w:hAnsi="Trebuchet MS" w:cs="Arial"/>
        </w:rPr>
        <w:t>.</w:t>
      </w:r>
      <w:r w:rsidR="00567A99" w:rsidRPr="000F0E93">
        <w:rPr>
          <w:rFonts w:ascii="Trebuchet MS" w:hAnsi="Trebuchet MS" w:cs="Arial"/>
        </w:rPr>
        <w:t xml:space="preserve"> Rețeaua rutieră este completată de linia feroviară neelectrificată 912 ce leagă Craiova de Calafat via Segarcea.</w:t>
      </w:r>
    </w:p>
    <w:p w:rsidR="000C4FC6" w:rsidRPr="000F0E93" w:rsidRDefault="000C4FC6" w:rsidP="000F0E93">
      <w:pPr>
        <w:spacing w:after="0" w:line="276" w:lineRule="auto"/>
        <w:ind w:firstLine="708"/>
        <w:jc w:val="both"/>
        <w:rPr>
          <w:rFonts w:ascii="Trebuchet MS" w:hAnsi="Trebuchet MS" w:cs="Arial"/>
        </w:rPr>
      </w:pPr>
      <w:r w:rsidRPr="000F0E93">
        <w:rPr>
          <w:rFonts w:ascii="Trebuchet MS" w:hAnsi="Trebuchet MS" w:cs="Arial"/>
        </w:rPr>
        <w:t xml:space="preserve">Din punct de vedere al infrastructurii edilitare însă, populația </w:t>
      </w:r>
      <w:r w:rsidR="00BF6A9A" w:rsidRPr="000F0E93">
        <w:rPr>
          <w:rFonts w:ascii="Trebuchet MS" w:hAnsi="Trebuchet MS" w:cs="Arial"/>
        </w:rPr>
        <w:t xml:space="preserve">rurală </w:t>
      </w:r>
      <w:r w:rsidRPr="000F0E93">
        <w:rPr>
          <w:rFonts w:ascii="Trebuchet MS" w:hAnsi="Trebuchet MS" w:cs="Arial"/>
        </w:rPr>
        <w:t>locală nu beneficiază de aceleași condiții precum cele din mediul urban. Conform datelor INS (în 2014), la nivelul teritoriului analizat, nu există nicio localitate unde consumatorii să aibă acces la distribuția de energie termică</w:t>
      </w:r>
      <w:r w:rsidR="00D41E9E" w:rsidRPr="000F0E93">
        <w:rPr>
          <w:rFonts w:ascii="Trebuchet MS" w:hAnsi="Trebuchet MS" w:cs="Arial"/>
        </w:rPr>
        <w:t xml:space="preserve">. Locuitorii din Podari sunt singurii consumatori ce au acces la o rețea de distribuție </w:t>
      </w:r>
      <w:r w:rsidR="00BC61D0" w:rsidRPr="000F0E93">
        <w:rPr>
          <w:rFonts w:ascii="Trebuchet MS" w:hAnsi="Trebuchet MS" w:cs="Arial"/>
        </w:rPr>
        <w:t>de gaze naturale</w:t>
      </w:r>
      <w:r w:rsidR="00D41E9E" w:rsidRPr="000F0E93">
        <w:rPr>
          <w:rFonts w:ascii="Trebuchet MS" w:hAnsi="Trebuchet MS" w:cs="Arial"/>
        </w:rPr>
        <w:t xml:space="preserve"> (în 2014, au fost furnizate 263 de mii metri cubi)</w:t>
      </w:r>
      <w:r w:rsidR="00BC61D0" w:rsidRPr="000F0E93">
        <w:rPr>
          <w:rFonts w:ascii="Trebuchet MS" w:hAnsi="Trebuchet MS" w:cs="Arial"/>
        </w:rPr>
        <w:t>.</w:t>
      </w:r>
      <w:r w:rsidR="00D41E9E" w:rsidRPr="000F0E93">
        <w:rPr>
          <w:rFonts w:ascii="Trebuchet MS" w:hAnsi="Trebuchet MS" w:cs="Arial"/>
        </w:rPr>
        <w:t xml:space="preserve"> De asemenea, î</w:t>
      </w:r>
      <w:r w:rsidRPr="000F0E93">
        <w:rPr>
          <w:rFonts w:ascii="Trebuchet MS" w:hAnsi="Trebuchet MS" w:cs="Arial"/>
        </w:rPr>
        <w:t xml:space="preserve">n ceea ce privește </w:t>
      </w:r>
      <w:r w:rsidR="00BC61D0" w:rsidRPr="000F0E93">
        <w:rPr>
          <w:rFonts w:ascii="Trebuchet MS" w:hAnsi="Trebuchet MS" w:cs="Arial"/>
        </w:rPr>
        <w:t>sistemul de canalizare publică</w:t>
      </w:r>
      <w:r w:rsidRPr="000F0E93">
        <w:rPr>
          <w:rFonts w:ascii="Trebuchet MS" w:hAnsi="Trebuchet MS" w:cs="Arial"/>
        </w:rPr>
        <w:t xml:space="preserve">, </w:t>
      </w:r>
      <w:r w:rsidR="00BC61D0" w:rsidRPr="000F0E93">
        <w:rPr>
          <w:rFonts w:ascii="Trebuchet MS" w:hAnsi="Trebuchet MS" w:cs="Arial"/>
        </w:rPr>
        <w:t xml:space="preserve">aceasta este disponibilă </w:t>
      </w:r>
      <w:r w:rsidR="00D41E9E" w:rsidRPr="000F0E93">
        <w:rPr>
          <w:rFonts w:ascii="Trebuchet MS" w:hAnsi="Trebuchet MS" w:cs="Arial"/>
        </w:rPr>
        <w:t>doar în Segarcea</w:t>
      </w:r>
      <w:r w:rsidR="00BC61D0" w:rsidRPr="000F0E93">
        <w:rPr>
          <w:rFonts w:ascii="Trebuchet MS" w:hAnsi="Trebuchet MS" w:cs="Arial"/>
        </w:rPr>
        <w:t xml:space="preserve">, totalizând o lungime de </w:t>
      </w:r>
      <w:r w:rsidR="00D41E9E" w:rsidRPr="000F0E93">
        <w:rPr>
          <w:rFonts w:ascii="Trebuchet MS" w:hAnsi="Trebuchet MS" w:cs="Arial"/>
        </w:rPr>
        <w:t>5,5</w:t>
      </w:r>
      <w:r w:rsidR="00BC61D0" w:rsidRPr="000F0E93">
        <w:rPr>
          <w:rFonts w:ascii="Trebuchet MS" w:hAnsi="Trebuchet MS" w:cs="Arial"/>
        </w:rPr>
        <w:t xml:space="preserve"> de kilometri</w:t>
      </w:r>
      <w:r w:rsidRPr="000F0E93">
        <w:rPr>
          <w:rFonts w:ascii="Trebuchet MS" w:hAnsi="Trebuchet MS" w:cs="Arial"/>
        </w:rPr>
        <w:t xml:space="preserve">. In plus, în anumite localități din teritoriu precum </w:t>
      </w:r>
      <w:r w:rsidR="00D41E9E" w:rsidRPr="000F0E93">
        <w:rPr>
          <w:rFonts w:ascii="Trebuchet MS" w:hAnsi="Trebuchet MS" w:cs="Arial"/>
        </w:rPr>
        <w:t>Calopăr, Cerat, Dobrești, Întorsura, Lipovu, Radovan și Siliștea Crucii (7</w:t>
      </w:r>
      <w:r w:rsidR="00BC61D0" w:rsidRPr="000F0E93">
        <w:rPr>
          <w:rFonts w:ascii="Trebuchet MS" w:hAnsi="Trebuchet MS" w:cs="Arial"/>
        </w:rPr>
        <w:t xml:space="preserve"> din cele</w:t>
      </w:r>
      <w:r w:rsidRPr="000F0E93">
        <w:rPr>
          <w:rFonts w:ascii="Trebuchet MS" w:hAnsi="Trebuchet MS" w:cs="Arial"/>
        </w:rPr>
        <w:t xml:space="preserve"> </w:t>
      </w:r>
      <w:r w:rsidR="00154E1D">
        <w:rPr>
          <w:rFonts w:ascii="Trebuchet MS" w:hAnsi="Trebuchet MS" w:cs="Arial"/>
        </w:rPr>
        <w:t>12</w:t>
      </w:r>
      <w:r w:rsidR="00BC61D0" w:rsidRPr="000F0E93">
        <w:rPr>
          <w:rFonts w:ascii="Trebuchet MS" w:hAnsi="Trebuchet MS" w:cs="Arial"/>
        </w:rPr>
        <w:t xml:space="preserve"> de </w:t>
      </w:r>
      <w:r w:rsidRPr="000F0E93">
        <w:rPr>
          <w:rFonts w:ascii="Trebuchet MS" w:hAnsi="Trebuchet MS" w:cs="Arial"/>
        </w:rPr>
        <w:t xml:space="preserve">localități din </w:t>
      </w:r>
      <w:r w:rsidR="00BC61D0" w:rsidRPr="000F0E93">
        <w:rPr>
          <w:rFonts w:ascii="Trebuchet MS" w:hAnsi="Trebuchet MS" w:cs="Arial"/>
        </w:rPr>
        <w:t>teritoriu)</w:t>
      </w:r>
      <w:r w:rsidRPr="000F0E93">
        <w:rPr>
          <w:rFonts w:ascii="Trebuchet MS" w:hAnsi="Trebuchet MS" w:cs="Arial"/>
        </w:rPr>
        <w:t xml:space="preserve"> consumatorii nu au acces la o</w:t>
      </w:r>
      <w:r w:rsidR="00BC61D0" w:rsidRPr="000F0E93">
        <w:rPr>
          <w:rFonts w:ascii="Trebuchet MS" w:hAnsi="Trebuchet MS" w:cs="Arial"/>
        </w:rPr>
        <w:t xml:space="preserve"> rețea de apă potabilă</w:t>
      </w:r>
      <w:r w:rsidR="00D41E9E" w:rsidRPr="000F0E93">
        <w:rPr>
          <w:rFonts w:ascii="Trebuchet MS" w:hAnsi="Trebuchet MS" w:cs="Arial"/>
        </w:rPr>
        <w:t>, conform datelor INS</w:t>
      </w:r>
      <w:r w:rsidR="00BC61D0" w:rsidRPr="000F0E93">
        <w:rPr>
          <w:rFonts w:ascii="Trebuchet MS" w:hAnsi="Trebuchet MS" w:cs="Arial"/>
        </w:rPr>
        <w:t xml:space="preserve">. </w:t>
      </w:r>
      <w:r w:rsidRPr="000F0E93">
        <w:rPr>
          <w:rFonts w:ascii="Trebuchet MS" w:hAnsi="Trebuchet MS" w:cs="Arial"/>
        </w:rPr>
        <w:t xml:space="preserve">Privit la nivel județean, aceste deficiențe utilitare în mediul rural sunt de asemenea prezente: La nivelul celor </w:t>
      </w:r>
      <w:r w:rsidR="00D41E9E" w:rsidRPr="000F0E93">
        <w:rPr>
          <w:rFonts w:ascii="Trebuchet MS" w:hAnsi="Trebuchet MS" w:cs="Arial"/>
        </w:rPr>
        <w:t>104</w:t>
      </w:r>
      <w:r w:rsidRPr="000F0E93">
        <w:rPr>
          <w:rFonts w:ascii="Trebuchet MS" w:hAnsi="Trebuchet MS" w:cs="Arial"/>
        </w:rPr>
        <w:t xml:space="preserve"> de localităț</w:t>
      </w:r>
      <w:r w:rsidR="00D41E9E" w:rsidRPr="000F0E93">
        <w:rPr>
          <w:rFonts w:ascii="Trebuchet MS" w:hAnsi="Trebuchet MS" w:cs="Arial"/>
        </w:rPr>
        <w:t>i din mediul rural din județul</w:t>
      </w:r>
      <w:r w:rsidRPr="000F0E93">
        <w:rPr>
          <w:rFonts w:ascii="Trebuchet MS" w:hAnsi="Trebuchet MS" w:cs="Arial"/>
        </w:rPr>
        <w:t xml:space="preserve"> </w:t>
      </w:r>
      <w:r w:rsidR="00BC61D0" w:rsidRPr="000F0E93">
        <w:rPr>
          <w:rFonts w:ascii="Trebuchet MS" w:hAnsi="Trebuchet MS" w:cs="Arial"/>
        </w:rPr>
        <w:t>Dolj</w:t>
      </w:r>
      <w:r w:rsidRPr="000F0E93">
        <w:rPr>
          <w:rFonts w:ascii="Trebuchet MS" w:hAnsi="Trebuchet MS" w:cs="Arial"/>
        </w:rPr>
        <w:t xml:space="preserve">, doar </w:t>
      </w:r>
      <w:r w:rsidR="00D41E9E" w:rsidRPr="000F0E93">
        <w:rPr>
          <w:rFonts w:ascii="Trebuchet MS" w:hAnsi="Trebuchet MS" w:cs="Arial"/>
        </w:rPr>
        <w:t>53,8</w:t>
      </w:r>
      <w:r w:rsidRPr="000F0E93">
        <w:rPr>
          <w:rFonts w:ascii="Trebuchet MS" w:hAnsi="Trebuchet MS" w:cs="Arial"/>
        </w:rPr>
        <w:t>% dintre aceste localități beneficiază de rețele de distribuție a apei potabile</w:t>
      </w:r>
      <w:r w:rsidR="003D2207" w:rsidRPr="000F0E93">
        <w:rPr>
          <w:rFonts w:ascii="Trebuchet MS" w:hAnsi="Trebuchet MS" w:cs="Arial"/>
        </w:rPr>
        <w:t>,</w:t>
      </w:r>
      <w:r w:rsidRPr="000F0E93">
        <w:rPr>
          <w:rFonts w:ascii="Trebuchet MS" w:hAnsi="Trebuchet MS" w:cs="Arial"/>
        </w:rPr>
        <w:t xml:space="preserve"> </w:t>
      </w:r>
      <w:r w:rsidR="00D41E9E" w:rsidRPr="000F0E93">
        <w:rPr>
          <w:rFonts w:ascii="Trebuchet MS" w:hAnsi="Trebuchet MS" w:cs="Arial"/>
        </w:rPr>
        <w:t>10,6</w:t>
      </w:r>
      <w:r w:rsidRPr="000F0E93">
        <w:rPr>
          <w:rFonts w:ascii="Trebuchet MS" w:hAnsi="Trebuchet MS" w:cs="Arial"/>
        </w:rPr>
        <w:t xml:space="preserve">% de distribuția de gaze naturale și </w:t>
      </w:r>
      <w:r w:rsidR="00D41E9E" w:rsidRPr="000F0E93">
        <w:rPr>
          <w:rFonts w:ascii="Trebuchet MS" w:hAnsi="Trebuchet MS" w:cs="Arial"/>
        </w:rPr>
        <w:t>7,7</w:t>
      </w:r>
      <w:r w:rsidRPr="000F0E93">
        <w:rPr>
          <w:rFonts w:ascii="Trebuchet MS" w:hAnsi="Trebuchet MS" w:cs="Arial"/>
        </w:rPr>
        <w:t>% de un sistem de canalizare public (calcule proprii conform datelor INS)</w:t>
      </w:r>
      <w:r w:rsidR="003D2207" w:rsidRPr="000F0E93">
        <w:rPr>
          <w:rFonts w:ascii="Trebuchet MS" w:hAnsi="Trebuchet MS" w:cs="Arial"/>
        </w:rPr>
        <w:t xml:space="preserve"> și niciuna de distribuția de energie termică</w:t>
      </w:r>
      <w:r w:rsidRPr="000F0E93">
        <w:rPr>
          <w:rFonts w:ascii="Trebuchet MS" w:hAnsi="Trebuchet MS" w:cs="Arial"/>
        </w:rPr>
        <w:t>.</w:t>
      </w:r>
    </w:p>
    <w:p w:rsidR="000C4FC6" w:rsidRPr="000F0E93" w:rsidRDefault="000C4FC6" w:rsidP="000F0E93">
      <w:pPr>
        <w:spacing w:after="0" w:line="276" w:lineRule="auto"/>
        <w:jc w:val="both"/>
        <w:rPr>
          <w:rFonts w:ascii="Trebuchet MS" w:hAnsi="Trebuchet MS"/>
        </w:rPr>
      </w:pPr>
      <w:r w:rsidRPr="000F0E93">
        <w:rPr>
          <w:rFonts w:ascii="Trebuchet MS" w:hAnsi="Trebuchet MS"/>
        </w:rPr>
        <w:tab/>
        <w:t xml:space="preserve">Din punct de vedere al infrastructurii sociale (educație, sănătate și cultură) teritoriul își păstrează coezivitatea. În cadrul teritoriului, cea mai mare pondere a populației în funcție de nivelul educațional e deținută de persoanele cu studii </w:t>
      </w:r>
      <w:r w:rsidR="00D41E9E" w:rsidRPr="000F0E93">
        <w:rPr>
          <w:rFonts w:ascii="Trebuchet MS" w:hAnsi="Trebuchet MS"/>
        </w:rPr>
        <w:t>inferioare (11.325</w:t>
      </w:r>
      <w:r w:rsidR="00C94C2F" w:rsidRPr="000F0E93">
        <w:rPr>
          <w:rFonts w:ascii="Trebuchet MS" w:hAnsi="Trebuchet MS"/>
        </w:rPr>
        <w:t xml:space="preserve"> persoane</w:t>
      </w:r>
      <w:r w:rsidR="00776379" w:rsidRPr="000F0E93">
        <w:rPr>
          <w:rFonts w:ascii="Trebuchet MS" w:hAnsi="Trebuchet MS"/>
        </w:rPr>
        <w:t xml:space="preserve"> – 32%), urmat de cei cu studii</w:t>
      </w:r>
      <w:r w:rsidR="00C94C2F" w:rsidRPr="000F0E93">
        <w:rPr>
          <w:rFonts w:ascii="Trebuchet MS" w:hAnsi="Trebuchet MS"/>
        </w:rPr>
        <w:t xml:space="preserve"> primar</w:t>
      </w:r>
      <w:r w:rsidR="00776379" w:rsidRPr="000F0E93">
        <w:rPr>
          <w:rFonts w:ascii="Trebuchet MS" w:hAnsi="Trebuchet MS"/>
        </w:rPr>
        <w:t>e</w:t>
      </w:r>
      <w:r w:rsidR="00C94C2F" w:rsidRPr="000F0E93">
        <w:rPr>
          <w:rFonts w:ascii="Trebuchet MS" w:hAnsi="Trebuchet MS"/>
        </w:rPr>
        <w:t xml:space="preserve"> (</w:t>
      </w:r>
      <w:r w:rsidR="005D3115" w:rsidRPr="000F0E93">
        <w:rPr>
          <w:rFonts w:ascii="Trebuchet MS" w:hAnsi="Trebuchet MS"/>
        </w:rPr>
        <w:t>7.980</w:t>
      </w:r>
      <w:r w:rsidR="00776379" w:rsidRPr="000F0E93">
        <w:rPr>
          <w:rFonts w:ascii="Trebuchet MS" w:hAnsi="Trebuchet MS"/>
        </w:rPr>
        <w:t xml:space="preserve"> – 23%</w:t>
      </w:r>
      <w:r w:rsidR="00824D5A" w:rsidRPr="000F0E93">
        <w:rPr>
          <w:rFonts w:ascii="Trebuchet MS" w:hAnsi="Trebuchet MS"/>
        </w:rPr>
        <w:t>)</w:t>
      </w:r>
      <w:r w:rsidR="00776379" w:rsidRPr="000F0E93">
        <w:rPr>
          <w:rFonts w:ascii="Trebuchet MS" w:hAnsi="Trebuchet MS"/>
        </w:rPr>
        <w:t>, liceale (</w:t>
      </w:r>
      <w:r w:rsidR="005D3115" w:rsidRPr="000F0E93">
        <w:rPr>
          <w:rFonts w:ascii="Trebuchet MS" w:hAnsi="Trebuchet MS"/>
        </w:rPr>
        <w:t>6,435 - 19</w:t>
      </w:r>
      <w:r w:rsidR="00776379" w:rsidRPr="000F0E93">
        <w:rPr>
          <w:rFonts w:ascii="Trebuchet MS" w:hAnsi="Trebuchet MS"/>
        </w:rPr>
        <w:t>%), pr</w:t>
      </w:r>
      <w:r w:rsidR="005D3115" w:rsidRPr="000F0E93">
        <w:rPr>
          <w:rFonts w:ascii="Trebuchet MS" w:hAnsi="Trebuchet MS"/>
        </w:rPr>
        <w:t>ofesionale și de ucenicie (5.225 - 15</w:t>
      </w:r>
      <w:r w:rsidR="00776379" w:rsidRPr="000F0E93">
        <w:rPr>
          <w:rFonts w:ascii="Trebuchet MS" w:hAnsi="Trebuchet MS"/>
        </w:rPr>
        <w:t>%), fără școală absolvită (</w:t>
      </w:r>
      <w:r w:rsidR="005D3115" w:rsidRPr="000F0E93">
        <w:rPr>
          <w:rFonts w:ascii="Trebuchet MS" w:hAnsi="Trebuchet MS"/>
        </w:rPr>
        <w:t xml:space="preserve">1.737 - </w:t>
      </w:r>
      <w:r w:rsidR="00776379" w:rsidRPr="000F0E93">
        <w:rPr>
          <w:rFonts w:ascii="Trebuchet MS" w:hAnsi="Trebuchet MS"/>
        </w:rPr>
        <w:t>5%) și post-liceale (1.927 – 2%)</w:t>
      </w:r>
      <w:r w:rsidR="00824D5A" w:rsidRPr="000F0E93">
        <w:rPr>
          <w:rFonts w:ascii="Trebuchet MS" w:hAnsi="Trebuchet MS"/>
        </w:rPr>
        <w:t>.</w:t>
      </w:r>
      <w:r w:rsidR="00381939" w:rsidRPr="000F0E93">
        <w:rPr>
          <w:rFonts w:ascii="Trebuchet MS" w:hAnsi="Trebuchet MS"/>
        </w:rPr>
        <w:t xml:space="preserve"> Ponderea numărul</w:t>
      </w:r>
      <w:r w:rsidR="003073CE">
        <w:rPr>
          <w:rFonts w:ascii="Trebuchet MS" w:hAnsi="Trebuchet MS"/>
        </w:rPr>
        <w:t>ui</w:t>
      </w:r>
      <w:r w:rsidR="00381939" w:rsidRPr="000F0E93">
        <w:rPr>
          <w:rFonts w:ascii="Trebuchet MS" w:hAnsi="Trebuchet MS"/>
        </w:rPr>
        <w:t xml:space="preserve"> persoanelor cu studii superioare este destul de redus</w:t>
      </w:r>
      <w:r w:rsidR="00776379" w:rsidRPr="000F0E93">
        <w:rPr>
          <w:rFonts w:ascii="Trebuchet MS" w:hAnsi="Trebuchet MS"/>
        </w:rPr>
        <w:t>ă</w:t>
      </w:r>
      <w:r w:rsidR="00381939" w:rsidRPr="000F0E93">
        <w:rPr>
          <w:rFonts w:ascii="Trebuchet MS" w:hAnsi="Trebuchet MS"/>
        </w:rPr>
        <w:t xml:space="preserve"> (aproximativ 5% din totalul persoanelor cu o vârstă mai mare de 10 ani), acestea fiind concentrate mai </w:t>
      </w:r>
      <w:r w:rsidR="005D3115" w:rsidRPr="000F0E93">
        <w:rPr>
          <w:rFonts w:ascii="Trebuchet MS" w:hAnsi="Trebuchet MS"/>
        </w:rPr>
        <w:t>ales în orașul Segarcea (peste 35,62</w:t>
      </w:r>
      <w:r w:rsidR="00381939" w:rsidRPr="000F0E93">
        <w:rPr>
          <w:rFonts w:ascii="Trebuchet MS" w:hAnsi="Trebuchet MS"/>
        </w:rPr>
        <w:t xml:space="preserve">% din totalul persoanelor cu studii superioare fiind localizate în această localitate). </w:t>
      </w:r>
    </w:p>
    <w:p w:rsidR="000C4FC6" w:rsidRPr="000F0E93" w:rsidRDefault="000C4FC6" w:rsidP="000F0E93">
      <w:pPr>
        <w:spacing w:after="0" w:line="276" w:lineRule="auto"/>
        <w:ind w:firstLine="708"/>
        <w:jc w:val="both"/>
        <w:rPr>
          <w:rFonts w:ascii="Trebuchet MS" w:hAnsi="Trebuchet MS"/>
        </w:rPr>
      </w:pPr>
      <w:r w:rsidRPr="000F0E93">
        <w:rPr>
          <w:rFonts w:ascii="Trebuchet MS" w:hAnsi="Trebuchet MS"/>
        </w:rPr>
        <w:t xml:space="preserve">Un motiv pentru care populația din teritoriu nu deține studii mai avansate este cauzat de faptul că infrastructura școlară locală este formată </w:t>
      </w:r>
      <w:r w:rsidR="00381939" w:rsidRPr="000F0E93">
        <w:rPr>
          <w:rFonts w:ascii="Trebuchet MS" w:hAnsi="Trebuchet MS"/>
        </w:rPr>
        <w:t>preponderent</w:t>
      </w:r>
      <w:r w:rsidRPr="000F0E93">
        <w:rPr>
          <w:rFonts w:ascii="Trebuchet MS" w:hAnsi="Trebuchet MS"/>
        </w:rPr>
        <w:t xml:space="preserve"> de unități școlare adresate exclusiv învățământului primar si celui gimnazial (</w:t>
      </w:r>
      <w:r w:rsidR="00EC7B92" w:rsidRPr="000F0E93">
        <w:rPr>
          <w:rFonts w:ascii="Trebuchet MS" w:hAnsi="Trebuchet MS"/>
        </w:rPr>
        <w:t>12</w:t>
      </w:r>
      <w:r w:rsidRPr="000F0E93">
        <w:rPr>
          <w:rFonts w:ascii="Trebuchet MS" w:hAnsi="Trebuchet MS"/>
        </w:rPr>
        <w:t xml:space="preserve"> astfel de unități) și</w:t>
      </w:r>
      <w:r w:rsidR="00EC7B92" w:rsidRPr="000F0E93">
        <w:rPr>
          <w:rFonts w:ascii="Trebuchet MS" w:hAnsi="Trebuchet MS"/>
        </w:rPr>
        <w:t xml:space="preserve"> un singur liceu</w:t>
      </w:r>
      <w:r w:rsidRPr="000F0E93">
        <w:rPr>
          <w:rFonts w:ascii="Trebuchet MS" w:hAnsi="Trebuchet MS"/>
        </w:rPr>
        <w:t xml:space="preserve"> </w:t>
      </w:r>
      <w:r w:rsidR="00EC7B92" w:rsidRPr="000F0E93">
        <w:rPr>
          <w:rFonts w:ascii="Trebuchet MS" w:hAnsi="Trebuchet MS"/>
        </w:rPr>
        <w:t>localizat</w:t>
      </w:r>
      <w:r w:rsidR="00381939" w:rsidRPr="000F0E93">
        <w:rPr>
          <w:rFonts w:ascii="Trebuchet MS" w:hAnsi="Trebuchet MS"/>
        </w:rPr>
        <w:t xml:space="preserve"> în </w:t>
      </w:r>
      <w:r w:rsidR="00EC7B92" w:rsidRPr="000F0E93">
        <w:rPr>
          <w:rFonts w:ascii="Trebuchet MS" w:hAnsi="Trebuchet MS"/>
        </w:rPr>
        <w:t>Segarcea</w:t>
      </w:r>
      <w:r w:rsidRPr="000F0E93">
        <w:rPr>
          <w:rFonts w:ascii="Trebuchet MS" w:hAnsi="Trebuchet MS"/>
        </w:rPr>
        <w:t>. Numărul unităților școlare sunt completate de prezența a</w:t>
      </w:r>
      <w:r w:rsidR="00EC7B92" w:rsidRPr="000F0E93">
        <w:rPr>
          <w:rFonts w:ascii="Trebuchet MS" w:hAnsi="Trebuchet MS"/>
        </w:rPr>
        <w:t xml:space="preserve"> </w:t>
      </w:r>
      <w:r w:rsidR="00EC7B92" w:rsidRPr="000F0E93">
        <w:rPr>
          <w:rFonts w:ascii="Trebuchet MS" w:hAnsi="Trebuchet MS"/>
        </w:rPr>
        <w:lastRenderedPageBreak/>
        <w:t>2</w:t>
      </w:r>
      <w:r w:rsidR="00F06E6E" w:rsidRPr="000F0E93">
        <w:rPr>
          <w:rFonts w:ascii="Trebuchet MS" w:hAnsi="Trebuchet MS"/>
        </w:rPr>
        <w:t>1</w:t>
      </w:r>
      <w:r w:rsidRPr="000F0E93">
        <w:rPr>
          <w:rFonts w:ascii="Trebuchet MS" w:hAnsi="Trebuchet MS"/>
        </w:rPr>
        <w:t xml:space="preserve"> de biblioteci publice la nivelul lo</w:t>
      </w:r>
      <w:r w:rsidR="00757DC5" w:rsidRPr="000F0E93">
        <w:rPr>
          <w:rFonts w:ascii="Trebuchet MS" w:hAnsi="Trebuchet MS"/>
        </w:rPr>
        <w:t xml:space="preserve">calităților din teritoriul GAL </w:t>
      </w:r>
      <w:r w:rsidR="00EC7B92" w:rsidRPr="000F0E93">
        <w:rPr>
          <w:rFonts w:ascii="Trebuchet MS" w:hAnsi="Trebuchet MS"/>
        </w:rPr>
        <w:t>Segarcea</w:t>
      </w:r>
      <w:r w:rsidRPr="000F0E93">
        <w:rPr>
          <w:rFonts w:ascii="Trebuchet MS" w:hAnsi="Trebuchet MS"/>
        </w:rPr>
        <w:t xml:space="preserve">, fiind înregistrați un număr de cititori activi de </w:t>
      </w:r>
      <w:r w:rsidR="00EC7B92" w:rsidRPr="000F0E93">
        <w:rPr>
          <w:rFonts w:ascii="Trebuchet MS" w:hAnsi="Trebuchet MS"/>
        </w:rPr>
        <w:t>7.186</w:t>
      </w:r>
      <w:r w:rsidR="00F06E6E" w:rsidRPr="000F0E93">
        <w:rPr>
          <w:rFonts w:ascii="Trebuchet MS" w:hAnsi="Trebuchet MS"/>
        </w:rPr>
        <w:t xml:space="preserve"> </w:t>
      </w:r>
      <w:r w:rsidRPr="000F0E93">
        <w:rPr>
          <w:rFonts w:ascii="Trebuchet MS" w:hAnsi="Trebuchet MS"/>
        </w:rPr>
        <w:t>c</w:t>
      </w:r>
      <w:r w:rsidR="00EC7B92" w:rsidRPr="000F0E93">
        <w:rPr>
          <w:rFonts w:ascii="Trebuchet MS" w:hAnsi="Trebuchet MS"/>
        </w:rPr>
        <w:t>onform datelor INS (18,3</w:t>
      </w:r>
      <w:r w:rsidRPr="000F0E93">
        <w:rPr>
          <w:rFonts w:ascii="Trebuchet MS" w:hAnsi="Trebuchet MS"/>
        </w:rPr>
        <w:t xml:space="preserve">% din populația locală). </w:t>
      </w:r>
    </w:p>
    <w:p w:rsidR="00A32A37" w:rsidRPr="000F0E93" w:rsidRDefault="00A32A37" w:rsidP="000F0E93">
      <w:pPr>
        <w:spacing w:after="0" w:line="276" w:lineRule="auto"/>
        <w:jc w:val="both"/>
        <w:rPr>
          <w:rFonts w:ascii="Trebuchet MS" w:hAnsi="Trebuchet MS"/>
          <w:i/>
        </w:rPr>
      </w:pPr>
      <w:r w:rsidRPr="000F0E93">
        <w:rPr>
          <w:rFonts w:ascii="Trebuchet MS" w:hAnsi="Trebuchet MS"/>
          <w:i/>
        </w:rPr>
        <w:t>Tabel 1. Repartizarea sectoarelor economice în cadrul economiei locale în 2014</w:t>
      </w:r>
    </w:p>
    <w:tbl>
      <w:tblPr>
        <w:tblW w:w="0" w:type="auto"/>
        <w:tblLayout w:type="fixed"/>
        <w:tblLook w:val="04A0" w:firstRow="1" w:lastRow="0" w:firstColumn="1" w:lastColumn="0" w:noHBand="0" w:noVBand="1"/>
      </w:tblPr>
      <w:tblGrid>
        <w:gridCol w:w="1728"/>
        <w:gridCol w:w="2070"/>
        <w:gridCol w:w="1074"/>
        <w:gridCol w:w="1006"/>
        <w:gridCol w:w="1466"/>
        <w:gridCol w:w="992"/>
        <w:gridCol w:w="1083"/>
      </w:tblGrid>
      <w:tr w:rsidR="007D714A" w:rsidRPr="000F0E93" w:rsidTr="00484005">
        <w:trPr>
          <w:trHeight w:val="254"/>
        </w:trPr>
        <w:tc>
          <w:tcPr>
            <w:tcW w:w="17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Sectorul economic</w:t>
            </w:r>
          </w:p>
        </w:tc>
        <w:tc>
          <w:tcPr>
            <w:tcW w:w="3144" w:type="dxa"/>
            <w:gridSpan w:val="2"/>
            <w:tcBorders>
              <w:top w:val="single" w:sz="4" w:space="0" w:color="auto"/>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Cifra de afaceri</w:t>
            </w:r>
          </w:p>
        </w:tc>
        <w:tc>
          <w:tcPr>
            <w:tcW w:w="2472" w:type="dxa"/>
            <w:gridSpan w:val="2"/>
            <w:tcBorders>
              <w:top w:val="single" w:sz="4" w:space="0" w:color="auto"/>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Număr întreprinderi active</w:t>
            </w:r>
          </w:p>
        </w:tc>
        <w:tc>
          <w:tcPr>
            <w:tcW w:w="2075" w:type="dxa"/>
            <w:gridSpan w:val="2"/>
            <w:tcBorders>
              <w:top w:val="single" w:sz="4" w:space="0" w:color="auto"/>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Număr mediu salariați</w:t>
            </w:r>
          </w:p>
        </w:tc>
      </w:tr>
      <w:tr w:rsidR="007D714A" w:rsidRPr="000F0E93" w:rsidTr="00484005">
        <w:trPr>
          <w:trHeight w:val="254"/>
        </w:trPr>
        <w:tc>
          <w:tcPr>
            <w:tcW w:w="1728" w:type="dxa"/>
            <w:vMerge/>
            <w:tcBorders>
              <w:top w:val="single" w:sz="4" w:space="0" w:color="auto"/>
              <w:left w:val="single" w:sz="4" w:space="0" w:color="auto"/>
              <w:bottom w:val="single" w:sz="4" w:space="0" w:color="auto"/>
              <w:right w:val="single" w:sz="4" w:space="0" w:color="auto"/>
            </w:tcBorders>
            <w:vAlign w:val="center"/>
            <w:hideMark/>
          </w:tcPr>
          <w:p w:rsidR="007D714A" w:rsidRPr="000F0E93" w:rsidRDefault="007D714A" w:rsidP="000F0E93">
            <w:pPr>
              <w:spacing w:after="0" w:line="276" w:lineRule="auto"/>
              <w:rPr>
                <w:rFonts w:ascii="Trebuchet MS" w:eastAsia="Times New Roman" w:hAnsi="Trebuchet MS" w:cs="Times New Roman"/>
                <w:b/>
                <w:bCs/>
                <w:lang w:eastAsia="ro-RO"/>
              </w:rPr>
            </w:pPr>
          </w:p>
        </w:tc>
        <w:tc>
          <w:tcPr>
            <w:tcW w:w="2070"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RON</w:t>
            </w:r>
          </w:p>
        </w:tc>
        <w:tc>
          <w:tcPr>
            <w:tcW w:w="1074"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w:t>
            </w:r>
          </w:p>
        </w:tc>
        <w:tc>
          <w:tcPr>
            <w:tcW w:w="100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Nr.</w:t>
            </w:r>
          </w:p>
        </w:tc>
        <w:tc>
          <w:tcPr>
            <w:tcW w:w="146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w:t>
            </w:r>
          </w:p>
        </w:tc>
        <w:tc>
          <w:tcPr>
            <w:tcW w:w="992"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Nr.</w:t>
            </w:r>
          </w:p>
        </w:tc>
        <w:tc>
          <w:tcPr>
            <w:tcW w:w="1083"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w:t>
            </w:r>
          </w:p>
        </w:tc>
      </w:tr>
      <w:tr w:rsidR="007D714A" w:rsidRPr="000F0E93" w:rsidTr="00484005">
        <w:trPr>
          <w:trHeight w:val="254"/>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rPr>
                <w:rFonts w:ascii="Trebuchet MS" w:eastAsia="Times New Roman" w:hAnsi="Trebuchet MS" w:cs="Times New Roman"/>
                <w:lang w:eastAsia="ro-RO"/>
              </w:rPr>
            </w:pPr>
            <w:r w:rsidRPr="000F0E93">
              <w:rPr>
                <w:rFonts w:ascii="Trebuchet MS" w:eastAsia="Times New Roman" w:hAnsi="Trebuchet MS" w:cs="Times New Roman"/>
                <w:lang w:eastAsia="ro-RO"/>
              </w:rPr>
              <w:t>Agricultură, silvicultură și pescuit</w:t>
            </w:r>
          </w:p>
        </w:tc>
        <w:tc>
          <w:tcPr>
            <w:tcW w:w="2070"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264.637.701</w:t>
            </w:r>
          </w:p>
        </w:tc>
        <w:tc>
          <w:tcPr>
            <w:tcW w:w="1074"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21,38%</w:t>
            </w:r>
          </w:p>
        </w:tc>
        <w:tc>
          <w:tcPr>
            <w:tcW w:w="100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49</w:t>
            </w:r>
          </w:p>
        </w:tc>
        <w:tc>
          <w:tcPr>
            <w:tcW w:w="146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12,60%</w:t>
            </w:r>
          </w:p>
        </w:tc>
        <w:tc>
          <w:tcPr>
            <w:tcW w:w="992"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424</w:t>
            </w:r>
          </w:p>
        </w:tc>
        <w:tc>
          <w:tcPr>
            <w:tcW w:w="1083"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14,92%</w:t>
            </w:r>
          </w:p>
        </w:tc>
      </w:tr>
      <w:tr w:rsidR="007D714A" w:rsidRPr="000F0E93" w:rsidTr="00484005">
        <w:trPr>
          <w:trHeight w:val="254"/>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rPr>
                <w:rFonts w:ascii="Trebuchet MS" w:eastAsia="Times New Roman" w:hAnsi="Trebuchet MS" w:cs="Times New Roman"/>
                <w:lang w:eastAsia="ro-RO"/>
              </w:rPr>
            </w:pPr>
            <w:r w:rsidRPr="000F0E93">
              <w:rPr>
                <w:rFonts w:ascii="Trebuchet MS" w:eastAsia="Times New Roman" w:hAnsi="Trebuchet MS" w:cs="Times New Roman"/>
                <w:lang w:eastAsia="ro-RO"/>
              </w:rPr>
              <w:t>Industrie</w:t>
            </w:r>
          </w:p>
        </w:tc>
        <w:tc>
          <w:tcPr>
            <w:tcW w:w="2070"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54.944.644</w:t>
            </w:r>
          </w:p>
        </w:tc>
        <w:tc>
          <w:tcPr>
            <w:tcW w:w="1074"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4,44%</w:t>
            </w:r>
          </w:p>
        </w:tc>
        <w:tc>
          <w:tcPr>
            <w:tcW w:w="100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49</w:t>
            </w:r>
          </w:p>
        </w:tc>
        <w:tc>
          <w:tcPr>
            <w:tcW w:w="146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12,60%</w:t>
            </w:r>
          </w:p>
        </w:tc>
        <w:tc>
          <w:tcPr>
            <w:tcW w:w="992"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477</w:t>
            </w:r>
          </w:p>
        </w:tc>
        <w:tc>
          <w:tcPr>
            <w:tcW w:w="1083"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16,78%</w:t>
            </w:r>
          </w:p>
        </w:tc>
      </w:tr>
      <w:tr w:rsidR="007D714A" w:rsidRPr="000F0E93" w:rsidTr="00484005">
        <w:trPr>
          <w:trHeight w:val="254"/>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rPr>
                <w:rFonts w:ascii="Trebuchet MS" w:eastAsia="Times New Roman" w:hAnsi="Trebuchet MS" w:cs="Times New Roman"/>
                <w:lang w:eastAsia="ro-RO"/>
              </w:rPr>
            </w:pPr>
            <w:r w:rsidRPr="000F0E93">
              <w:rPr>
                <w:rFonts w:ascii="Trebuchet MS" w:eastAsia="Times New Roman" w:hAnsi="Trebuchet MS" w:cs="Times New Roman"/>
                <w:lang w:eastAsia="ro-RO"/>
              </w:rPr>
              <w:t>Construcții</w:t>
            </w:r>
          </w:p>
        </w:tc>
        <w:tc>
          <w:tcPr>
            <w:tcW w:w="2070"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23.010.025</w:t>
            </w:r>
          </w:p>
        </w:tc>
        <w:tc>
          <w:tcPr>
            <w:tcW w:w="1074"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1,86%</w:t>
            </w:r>
          </w:p>
        </w:tc>
        <w:tc>
          <w:tcPr>
            <w:tcW w:w="100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27</w:t>
            </w:r>
          </w:p>
        </w:tc>
        <w:tc>
          <w:tcPr>
            <w:tcW w:w="146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6,94%</w:t>
            </w:r>
          </w:p>
        </w:tc>
        <w:tc>
          <w:tcPr>
            <w:tcW w:w="992"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217</w:t>
            </w:r>
          </w:p>
        </w:tc>
        <w:tc>
          <w:tcPr>
            <w:tcW w:w="1083"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7,64%</w:t>
            </w:r>
          </w:p>
        </w:tc>
      </w:tr>
      <w:tr w:rsidR="007D714A" w:rsidRPr="000F0E93" w:rsidTr="00484005">
        <w:trPr>
          <w:trHeight w:val="254"/>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rPr>
                <w:rFonts w:ascii="Trebuchet MS" w:eastAsia="Times New Roman" w:hAnsi="Trebuchet MS" w:cs="Times New Roman"/>
                <w:lang w:eastAsia="ro-RO"/>
              </w:rPr>
            </w:pPr>
            <w:r w:rsidRPr="000F0E93">
              <w:rPr>
                <w:rFonts w:ascii="Trebuchet MS" w:eastAsia="Times New Roman" w:hAnsi="Trebuchet MS" w:cs="Times New Roman"/>
                <w:lang w:eastAsia="ro-RO"/>
              </w:rPr>
              <w:t>Servicii</w:t>
            </w:r>
          </w:p>
        </w:tc>
        <w:tc>
          <w:tcPr>
            <w:tcW w:w="2070"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895.126.571</w:t>
            </w:r>
          </w:p>
        </w:tc>
        <w:tc>
          <w:tcPr>
            <w:tcW w:w="1074"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72,32%</w:t>
            </w:r>
          </w:p>
        </w:tc>
        <w:tc>
          <w:tcPr>
            <w:tcW w:w="100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264</w:t>
            </w:r>
          </w:p>
        </w:tc>
        <w:tc>
          <w:tcPr>
            <w:tcW w:w="146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67,87%</w:t>
            </w:r>
          </w:p>
        </w:tc>
        <w:tc>
          <w:tcPr>
            <w:tcW w:w="992"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1.724</w:t>
            </w:r>
          </w:p>
        </w:tc>
        <w:tc>
          <w:tcPr>
            <w:tcW w:w="1083"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60,66%</w:t>
            </w:r>
          </w:p>
        </w:tc>
      </w:tr>
      <w:tr w:rsidR="007D714A" w:rsidRPr="000F0E93" w:rsidTr="00484005">
        <w:trPr>
          <w:trHeight w:val="254"/>
        </w:trPr>
        <w:tc>
          <w:tcPr>
            <w:tcW w:w="1728" w:type="dxa"/>
            <w:tcBorders>
              <w:top w:val="nil"/>
              <w:left w:val="single" w:sz="4" w:space="0" w:color="auto"/>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Total</w:t>
            </w:r>
          </w:p>
        </w:tc>
        <w:tc>
          <w:tcPr>
            <w:tcW w:w="2070"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1237718941</w:t>
            </w:r>
          </w:p>
        </w:tc>
        <w:tc>
          <w:tcPr>
            <w:tcW w:w="1074"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100%</w:t>
            </w:r>
          </w:p>
        </w:tc>
        <w:tc>
          <w:tcPr>
            <w:tcW w:w="100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389</w:t>
            </w:r>
          </w:p>
        </w:tc>
        <w:tc>
          <w:tcPr>
            <w:tcW w:w="1466"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100%</w:t>
            </w:r>
          </w:p>
        </w:tc>
        <w:tc>
          <w:tcPr>
            <w:tcW w:w="992"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2</w:t>
            </w:r>
            <w:r w:rsidR="002F2B05" w:rsidRPr="000F0E93">
              <w:rPr>
                <w:rFonts w:ascii="Trebuchet MS" w:eastAsia="Times New Roman" w:hAnsi="Trebuchet MS" w:cs="Times New Roman"/>
                <w:b/>
                <w:bCs/>
                <w:lang w:eastAsia="ro-RO"/>
              </w:rPr>
              <w:t>.</w:t>
            </w:r>
            <w:r w:rsidRPr="000F0E93">
              <w:rPr>
                <w:rFonts w:ascii="Trebuchet MS" w:eastAsia="Times New Roman" w:hAnsi="Trebuchet MS" w:cs="Times New Roman"/>
                <w:b/>
                <w:bCs/>
                <w:lang w:eastAsia="ro-RO"/>
              </w:rPr>
              <w:t>842</w:t>
            </w:r>
          </w:p>
        </w:tc>
        <w:tc>
          <w:tcPr>
            <w:tcW w:w="1083" w:type="dxa"/>
            <w:tcBorders>
              <w:top w:val="nil"/>
              <w:left w:val="nil"/>
              <w:bottom w:val="single" w:sz="4" w:space="0" w:color="auto"/>
              <w:right w:val="single" w:sz="4" w:space="0" w:color="auto"/>
            </w:tcBorders>
            <w:shd w:val="clear" w:color="auto" w:fill="auto"/>
            <w:noWrap/>
            <w:vAlign w:val="center"/>
            <w:hideMark/>
          </w:tcPr>
          <w:p w:rsidR="007D714A" w:rsidRPr="000F0E93" w:rsidRDefault="007D714A"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100%</w:t>
            </w:r>
          </w:p>
        </w:tc>
      </w:tr>
    </w:tbl>
    <w:p w:rsidR="00776379" w:rsidRPr="000F0E93" w:rsidRDefault="00A32A37" w:rsidP="000F0E93">
      <w:pPr>
        <w:spacing w:after="0" w:line="276" w:lineRule="auto"/>
        <w:jc w:val="center"/>
        <w:rPr>
          <w:rFonts w:ascii="Trebuchet MS" w:hAnsi="Trebuchet MS"/>
          <w:u w:val="single"/>
        </w:rPr>
      </w:pPr>
      <w:r w:rsidRPr="000F0E93">
        <w:rPr>
          <w:rFonts w:ascii="Trebuchet MS" w:hAnsi="Trebuchet MS"/>
          <w:u w:val="single"/>
        </w:rPr>
        <w:t>Sursa: calculele autorului pe baza datelor Institutului Național de Statistică</w:t>
      </w:r>
    </w:p>
    <w:p w:rsidR="00CC5057" w:rsidRPr="000F0E93" w:rsidRDefault="000C4FC6" w:rsidP="000F0E93">
      <w:pPr>
        <w:spacing w:after="0" w:line="276" w:lineRule="auto"/>
        <w:ind w:firstLine="708"/>
        <w:jc w:val="both"/>
        <w:rPr>
          <w:rFonts w:ascii="Trebuchet MS" w:hAnsi="Trebuchet MS"/>
        </w:rPr>
      </w:pPr>
      <w:r w:rsidRPr="000F0E93">
        <w:rPr>
          <w:rFonts w:ascii="Trebuchet MS" w:hAnsi="Trebuchet MS"/>
        </w:rPr>
        <w:t xml:space="preserve">În ceea ce privește economia potențialului teritoriu GAL </w:t>
      </w:r>
      <w:r w:rsidR="007D714A" w:rsidRPr="000F0E93">
        <w:rPr>
          <w:rFonts w:ascii="Trebuchet MS" w:hAnsi="Trebuchet MS"/>
        </w:rPr>
        <w:t>Segarcea</w:t>
      </w:r>
      <w:r w:rsidR="002D0FD0" w:rsidRPr="000F0E93">
        <w:rPr>
          <w:rFonts w:ascii="Trebuchet MS" w:hAnsi="Trebuchet MS"/>
        </w:rPr>
        <w:t>,</w:t>
      </w:r>
      <w:r w:rsidRPr="000F0E93">
        <w:rPr>
          <w:rFonts w:ascii="Trebuchet MS" w:hAnsi="Trebuchet MS"/>
        </w:rPr>
        <w:t xml:space="preserve"> datele s</w:t>
      </w:r>
      <w:r w:rsidR="007D714A" w:rsidRPr="000F0E93">
        <w:rPr>
          <w:rFonts w:ascii="Trebuchet MS" w:hAnsi="Trebuchet MS"/>
        </w:rPr>
        <w:t>tatistice furnizate de unitatea</w:t>
      </w:r>
      <w:r w:rsidRPr="000F0E93">
        <w:rPr>
          <w:rFonts w:ascii="Trebuchet MS" w:hAnsi="Trebuchet MS"/>
        </w:rPr>
        <w:t xml:space="preserve"> județe</w:t>
      </w:r>
      <w:r w:rsidR="007D714A" w:rsidRPr="000F0E93">
        <w:rPr>
          <w:rFonts w:ascii="Trebuchet MS" w:hAnsi="Trebuchet MS"/>
        </w:rPr>
        <w:t>ană</w:t>
      </w:r>
      <w:r w:rsidRPr="000F0E93">
        <w:rPr>
          <w:rFonts w:ascii="Trebuchet MS" w:hAnsi="Trebuchet MS"/>
        </w:rPr>
        <w:t xml:space="preserve"> </w:t>
      </w:r>
      <w:r w:rsidR="007D714A" w:rsidRPr="000F0E93">
        <w:rPr>
          <w:rFonts w:ascii="Trebuchet MS" w:hAnsi="Trebuchet MS"/>
        </w:rPr>
        <w:t>a</w:t>
      </w:r>
      <w:r w:rsidR="000078D8" w:rsidRPr="000F0E93">
        <w:rPr>
          <w:rFonts w:ascii="Trebuchet MS" w:hAnsi="Trebuchet MS"/>
        </w:rPr>
        <w:t xml:space="preserve"> </w:t>
      </w:r>
      <w:r w:rsidR="00603EE9" w:rsidRPr="000F0E93">
        <w:rPr>
          <w:rFonts w:ascii="Trebuchet MS" w:hAnsi="Trebuchet MS"/>
        </w:rPr>
        <w:t>INS</w:t>
      </w:r>
      <w:r w:rsidRPr="000F0E93">
        <w:rPr>
          <w:rFonts w:ascii="Trebuchet MS" w:hAnsi="Trebuchet MS"/>
        </w:rPr>
        <w:t>, indică faptul că activitatea</w:t>
      </w:r>
      <w:r w:rsidR="000078D8" w:rsidRPr="000F0E93">
        <w:rPr>
          <w:rFonts w:ascii="Trebuchet MS" w:hAnsi="Trebuchet MS"/>
        </w:rPr>
        <w:t xml:space="preserve"> economică locală se bazează în special pe </w:t>
      </w:r>
      <w:r w:rsidR="00BF6A9A" w:rsidRPr="000F0E93">
        <w:rPr>
          <w:rFonts w:ascii="Trebuchet MS" w:hAnsi="Trebuchet MS"/>
        </w:rPr>
        <w:t xml:space="preserve">sectorului </w:t>
      </w:r>
      <w:r w:rsidR="00CC5057" w:rsidRPr="000F0E93">
        <w:rPr>
          <w:rFonts w:ascii="Trebuchet MS" w:hAnsi="Trebuchet MS"/>
        </w:rPr>
        <w:t>serviciilor</w:t>
      </w:r>
      <w:r w:rsidR="007D714A" w:rsidRPr="000F0E93">
        <w:rPr>
          <w:rFonts w:ascii="Trebuchet MS" w:hAnsi="Trebuchet MS"/>
        </w:rPr>
        <w:t xml:space="preserve"> (72,32</w:t>
      </w:r>
      <w:r w:rsidR="000078D8" w:rsidRPr="000F0E93">
        <w:rPr>
          <w:rFonts w:ascii="Trebuchet MS" w:hAnsi="Trebuchet MS"/>
        </w:rPr>
        <w:t xml:space="preserve">% din cifra de afaceri locală este realizată în acest sector economic de către </w:t>
      </w:r>
      <w:r w:rsidR="007D714A" w:rsidRPr="000F0E93">
        <w:rPr>
          <w:rFonts w:ascii="Trebuchet MS" w:hAnsi="Trebuchet MS"/>
        </w:rPr>
        <w:t>264</w:t>
      </w:r>
      <w:r w:rsidR="000078D8" w:rsidRPr="000F0E93">
        <w:rPr>
          <w:rFonts w:ascii="Trebuchet MS" w:hAnsi="Trebuchet MS"/>
        </w:rPr>
        <w:t xml:space="preserve"> de </w:t>
      </w:r>
      <w:r w:rsidR="00776379" w:rsidRPr="000F0E93">
        <w:rPr>
          <w:rFonts w:ascii="Trebuchet MS" w:hAnsi="Trebuchet MS"/>
        </w:rPr>
        <w:t xml:space="preserve">întreprinderi </w:t>
      </w:r>
      <w:r w:rsidR="000078D8" w:rsidRPr="000F0E93">
        <w:rPr>
          <w:rFonts w:ascii="Trebuchet MS" w:hAnsi="Trebuchet MS"/>
        </w:rPr>
        <w:t xml:space="preserve">ce cuprind </w:t>
      </w:r>
      <w:r w:rsidR="007D714A" w:rsidRPr="000F0E93">
        <w:rPr>
          <w:rFonts w:ascii="Trebuchet MS" w:hAnsi="Trebuchet MS"/>
        </w:rPr>
        <w:t>60,66</w:t>
      </w:r>
      <w:r w:rsidR="000078D8" w:rsidRPr="000F0E93">
        <w:rPr>
          <w:rFonts w:ascii="Trebuchet MS" w:hAnsi="Trebuchet MS"/>
        </w:rPr>
        <w:t xml:space="preserve">% din forța de muncă salariată) și pe sectorul </w:t>
      </w:r>
      <w:r w:rsidR="007D714A" w:rsidRPr="000F0E93">
        <w:rPr>
          <w:rFonts w:ascii="Trebuchet MS" w:hAnsi="Trebuchet MS"/>
        </w:rPr>
        <w:t>agricol</w:t>
      </w:r>
      <w:r w:rsidR="000078D8" w:rsidRPr="000F0E93">
        <w:rPr>
          <w:rFonts w:ascii="Trebuchet MS" w:hAnsi="Trebuchet MS"/>
        </w:rPr>
        <w:t xml:space="preserve"> (privit tot din perspectiva cifrei de afaceri</w:t>
      </w:r>
      <w:r w:rsidR="008C4A2F" w:rsidRPr="000F0E93">
        <w:rPr>
          <w:rFonts w:ascii="Trebuchet MS" w:hAnsi="Trebuchet MS"/>
        </w:rPr>
        <w:t>)</w:t>
      </w:r>
      <w:r w:rsidR="00776379" w:rsidRPr="000F0E93">
        <w:rPr>
          <w:rFonts w:ascii="Trebuchet MS" w:hAnsi="Trebuchet MS"/>
        </w:rPr>
        <w:t>.</w:t>
      </w:r>
    </w:p>
    <w:p w:rsidR="00A32A37" w:rsidRPr="000F0E93" w:rsidRDefault="00543E54" w:rsidP="000F0E93">
      <w:pPr>
        <w:spacing w:after="0" w:line="276" w:lineRule="auto"/>
        <w:jc w:val="both"/>
        <w:rPr>
          <w:rFonts w:ascii="Trebuchet MS" w:hAnsi="Trebuchet MS"/>
          <w:color w:val="00B0F0"/>
        </w:rPr>
      </w:pPr>
      <w:r w:rsidRPr="000F0E93">
        <w:rPr>
          <w:rFonts w:ascii="Trebuchet MS" w:hAnsi="Trebuchet MS"/>
          <w:color w:val="00B0F0"/>
        </w:rPr>
        <w:tab/>
      </w:r>
      <w:r w:rsidRPr="000F0E93">
        <w:rPr>
          <w:rFonts w:ascii="Trebuchet MS" w:hAnsi="Trebuchet MS"/>
        </w:rPr>
        <w:t xml:space="preserve">De asemenea, </w:t>
      </w:r>
      <w:r w:rsidR="00A32A37" w:rsidRPr="000F0E93">
        <w:rPr>
          <w:rFonts w:ascii="Trebuchet MS" w:hAnsi="Trebuchet MS"/>
        </w:rPr>
        <w:t xml:space="preserve">se observă din analiza datelor faptul că economia este compusă din </w:t>
      </w:r>
      <w:r w:rsidR="002F2B05" w:rsidRPr="000F0E93">
        <w:rPr>
          <w:rFonts w:ascii="Trebuchet MS" w:hAnsi="Trebuchet MS"/>
        </w:rPr>
        <w:t>389</w:t>
      </w:r>
      <w:r w:rsidR="00A32A37" w:rsidRPr="000F0E93">
        <w:rPr>
          <w:rFonts w:ascii="Trebuchet MS" w:hAnsi="Trebuchet MS"/>
        </w:rPr>
        <w:t xml:space="preserve"> de unități active în cadrul </w:t>
      </w:r>
      <w:r w:rsidR="008C4A2F" w:rsidRPr="000F0E93">
        <w:rPr>
          <w:rFonts w:ascii="Trebuchet MS" w:hAnsi="Trebuchet MS"/>
        </w:rPr>
        <w:t>cărora</w:t>
      </w:r>
      <w:r w:rsidR="005933F2">
        <w:rPr>
          <w:rFonts w:ascii="Trebuchet MS" w:hAnsi="Trebuchet MS"/>
        </w:rPr>
        <w:t xml:space="preserve"> sunt angajate</w:t>
      </w:r>
      <w:r w:rsidR="00A32A37" w:rsidRPr="000F0E93">
        <w:rPr>
          <w:rFonts w:ascii="Trebuchet MS" w:hAnsi="Trebuchet MS"/>
        </w:rPr>
        <w:t xml:space="preserve"> </w:t>
      </w:r>
      <w:r w:rsidR="002F2B05" w:rsidRPr="000F0E93">
        <w:rPr>
          <w:rFonts w:ascii="Trebuchet MS" w:hAnsi="Trebuchet MS"/>
        </w:rPr>
        <w:t>2.844</w:t>
      </w:r>
      <w:r w:rsidR="00A32A37" w:rsidRPr="000F0E93">
        <w:rPr>
          <w:rFonts w:ascii="Trebuchet MS" w:hAnsi="Trebuchet MS"/>
        </w:rPr>
        <w:t xml:space="preserve"> de persoane. Microîntreprinderile (societățile comerciale cu 0-9 angajați și o cifră de afaceri de maxim 2 milioane de euro)</w:t>
      </w:r>
      <w:r w:rsidR="008C4A2F" w:rsidRPr="000F0E93">
        <w:rPr>
          <w:rFonts w:ascii="Trebuchet MS" w:hAnsi="Trebuchet MS"/>
        </w:rPr>
        <w:t xml:space="preserve"> </w:t>
      </w:r>
      <w:r w:rsidR="002F2B05" w:rsidRPr="000F0E93">
        <w:rPr>
          <w:rFonts w:ascii="Trebuchet MS" w:hAnsi="Trebuchet MS"/>
        </w:rPr>
        <w:t>sunt cele mai răspândite ca număr în cadrul economiei locale (aproximativ 85,6%), însă acestea asigura numai 6% din cifra de afaceri locală. C</w:t>
      </w:r>
      <w:r w:rsidR="008C4A2F" w:rsidRPr="000F0E93">
        <w:rPr>
          <w:rFonts w:ascii="Trebuchet MS" w:hAnsi="Trebuchet MS"/>
        </w:rPr>
        <w:t>el mai important rol în economia locală</w:t>
      </w:r>
      <w:r w:rsidR="00A32A37" w:rsidRPr="000F0E93">
        <w:rPr>
          <w:rFonts w:ascii="Trebuchet MS" w:hAnsi="Trebuchet MS"/>
        </w:rPr>
        <w:t xml:space="preserve"> </w:t>
      </w:r>
      <w:r w:rsidR="002F2B05" w:rsidRPr="000F0E93">
        <w:rPr>
          <w:rFonts w:ascii="Trebuchet MS" w:hAnsi="Trebuchet MS"/>
        </w:rPr>
        <w:t>o</w:t>
      </w:r>
      <w:r w:rsidR="008C4A2F" w:rsidRPr="000F0E93">
        <w:rPr>
          <w:rFonts w:ascii="Trebuchet MS" w:hAnsi="Trebuchet MS"/>
        </w:rPr>
        <w:t xml:space="preserve"> dețin</w:t>
      </w:r>
      <w:r w:rsidR="002F2B05" w:rsidRPr="000F0E93">
        <w:rPr>
          <w:rFonts w:ascii="Trebuchet MS" w:hAnsi="Trebuchet MS"/>
        </w:rPr>
        <w:t xml:space="preserve"> întreprinderile mari</w:t>
      </w:r>
      <w:r w:rsidR="008C4A2F" w:rsidRPr="000F0E93">
        <w:rPr>
          <w:rFonts w:ascii="Trebuchet MS" w:hAnsi="Trebuchet MS"/>
        </w:rPr>
        <w:t xml:space="preserve"> </w:t>
      </w:r>
      <w:r w:rsidR="002F2B05" w:rsidRPr="000F0E93">
        <w:rPr>
          <w:rFonts w:ascii="Trebuchet MS" w:hAnsi="Trebuchet MS"/>
        </w:rPr>
        <w:t xml:space="preserve">deoarece asigură </w:t>
      </w:r>
      <w:r w:rsidR="008C4A2F" w:rsidRPr="000F0E93">
        <w:rPr>
          <w:rFonts w:ascii="Trebuchet MS" w:hAnsi="Trebuchet MS"/>
        </w:rPr>
        <w:t xml:space="preserve">cea mai mare </w:t>
      </w:r>
      <w:r w:rsidR="002F2B05" w:rsidRPr="000F0E93">
        <w:rPr>
          <w:rFonts w:ascii="Trebuchet MS" w:hAnsi="Trebuchet MS"/>
        </w:rPr>
        <w:t>parte a cifrei</w:t>
      </w:r>
      <w:r w:rsidR="008C4A2F" w:rsidRPr="000F0E93">
        <w:rPr>
          <w:rFonts w:ascii="Trebuchet MS" w:hAnsi="Trebuchet MS"/>
        </w:rPr>
        <w:t xml:space="preserve"> de afaceri agregată la nivel local și </w:t>
      </w:r>
      <w:r w:rsidR="002F2B05" w:rsidRPr="000F0E93">
        <w:rPr>
          <w:rFonts w:ascii="Trebuchet MS" w:hAnsi="Trebuchet MS"/>
        </w:rPr>
        <w:t>alături de întreprinderile mijlocii</w:t>
      </w:r>
      <w:r w:rsidR="008C4A2F" w:rsidRPr="000F0E93">
        <w:rPr>
          <w:rFonts w:ascii="Trebuchet MS" w:hAnsi="Trebuchet MS"/>
        </w:rPr>
        <w:t xml:space="preserve"> </w:t>
      </w:r>
      <w:r w:rsidR="002F2B05" w:rsidRPr="000F0E93">
        <w:rPr>
          <w:rFonts w:ascii="Trebuchet MS" w:hAnsi="Trebuchet MS"/>
        </w:rPr>
        <w:t>(50-249), asigură aproximativ 29% din</w:t>
      </w:r>
      <w:r w:rsidR="008C4A2F" w:rsidRPr="000F0E93">
        <w:rPr>
          <w:rFonts w:ascii="Trebuchet MS" w:hAnsi="Trebuchet MS"/>
        </w:rPr>
        <w:t xml:space="preserve"> </w:t>
      </w:r>
      <w:r w:rsidR="002F2B05" w:rsidRPr="000F0E93">
        <w:rPr>
          <w:rFonts w:ascii="Trebuchet MS" w:hAnsi="Trebuchet MS"/>
        </w:rPr>
        <w:t>numărul locurilor de muncă.</w:t>
      </w:r>
      <w:r w:rsidR="00776379" w:rsidRPr="000F0E93">
        <w:rPr>
          <w:rFonts w:ascii="Trebuchet MS" w:hAnsi="Trebuchet MS"/>
        </w:rPr>
        <w:t xml:space="preserve"> Conform datelor statistice furnizate de INS și prelucrate de autori, rata</w:t>
      </w:r>
      <w:r w:rsidR="0082400B">
        <w:rPr>
          <w:rFonts w:ascii="Trebuchet MS" w:hAnsi="Trebuchet MS"/>
        </w:rPr>
        <w:t xml:space="preserve"> șomajului medie în </w:t>
      </w:r>
      <w:r w:rsidR="00776379" w:rsidRPr="000F0E93">
        <w:rPr>
          <w:rFonts w:ascii="Trebuchet MS" w:hAnsi="Trebuchet MS"/>
        </w:rPr>
        <w:t xml:space="preserve">GAL </w:t>
      </w:r>
      <w:r w:rsidR="002F2B05" w:rsidRPr="000F0E93">
        <w:rPr>
          <w:rFonts w:ascii="Trebuchet MS" w:hAnsi="Trebuchet MS"/>
        </w:rPr>
        <w:t>Segarcea este de 9</w:t>
      </w:r>
      <w:r w:rsidR="00776379" w:rsidRPr="000F0E93">
        <w:rPr>
          <w:rFonts w:ascii="Trebuchet MS" w:hAnsi="Trebuchet MS"/>
        </w:rPr>
        <w:t xml:space="preserve">% în anul 2015, existând localități precum </w:t>
      </w:r>
      <w:r w:rsidR="002F2B05" w:rsidRPr="000F0E93">
        <w:rPr>
          <w:rFonts w:ascii="Trebuchet MS" w:hAnsi="Trebuchet MS"/>
        </w:rPr>
        <w:t>Lipovu (17%</w:t>
      </w:r>
      <w:r w:rsidR="00776379" w:rsidRPr="000F0E93">
        <w:rPr>
          <w:rFonts w:ascii="Trebuchet MS" w:hAnsi="Trebuchet MS"/>
        </w:rPr>
        <w:t>)</w:t>
      </w:r>
      <w:r w:rsidR="002F2B05" w:rsidRPr="000F0E93">
        <w:rPr>
          <w:rFonts w:ascii="Trebuchet MS" w:hAnsi="Trebuchet MS"/>
        </w:rPr>
        <w:t>,</w:t>
      </w:r>
      <w:r w:rsidR="00776379" w:rsidRPr="000F0E93">
        <w:rPr>
          <w:rFonts w:ascii="Trebuchet MS" w:hAnsi="Trebuchet MS"/>
        </w:rPr>
        <w:t xml:space="preserve"> </w:t>
      </w:r>
      <w:r w:rsidR="002F2B05" w:rsidRPr="000F0E93">
        <w:rPr>
          <w:rFonts w:ascii="Trebuchet MS" w:hAnsi="Trebuchet MS"/>
        </w:rPr>
        <w:t>Drănic</w:t>
      </w:r>
      <w:r w:rsidR="00776379" w:rsidRPr="000F0E93">
        <w:rPr>
          <w:rFonts w:ascii="Trebuchet MS" w:hAnsi="Trebuchet MS"/>
        </w:rPr>
        <w:t xml:space="preserve"> (</w:t>
      </w:r>
      <w:r w:rsidR="002F2B05" w:rsidRPr="000F0E93">
        <w:rPr>
          <w:rFonts w:ascii="Trebuchet MS" w:hAnsi="Trebuchet MS"/>
        </w:rPr>
        <w:t>16,3</w:t>
      </w:r>
      <w:r w:rsidR="00776379" w:rsidRPr="000F0E93">
        <w:rPr>
          <w:rFonts w:ascii="Trebuchet MS" w:hAnsi="Trebuchet MS"/>
        </w:rPr>
        <w:t xml:space="preserve">%), </w:t>
      </w:r>
      <w:r w:rsidR="002F2B05" w:rsidRPr="000F0E93">
        <w:rPr>
          <w:rFonts w:ascii="Trebuchet MS" w:hAnsi="Trebuchet MS"/>
        </w:rPr>
        <w:t>Dobrești (15,3%), Cerat (13,6</w:t>
      </w:r>
      <w:r w:rsidR="00776379" w:rsidRPr="000F0E93">
        <w:rPr>
          <w:rFonts w:ascii="Trebuchet MS" w:hAnsi="Trebuchet MS"/>
        </w:rPr>
        <w:t>%)</w:t>
      </w:r>
      <w:r w:rsidR="002F2B05" w:rsidRPr="000F0E93">
        <w:rPr>
          <w:rFonts w:ascii="Trebuchet MS" w:hAnsi="Trebuchet MS"/>
        </w:rPr>
        <w:t>, Țuglui (11,8%), Siliștea Crucii</w:t>
      </w:r>
      <w:r w:rsidR="00776379" w:rsidRPr="000F0E93">
        <w:rPr>
          <w:rFonts w:ascii="Trebuchet MS" w:hAnsi="Trebuchet MS"/>
        </w:rPr>
        <w:t xml:space="preserve"> </w:t>
      </w:r>
      <w:r w:rsidR="002F2B05" w:rsidRPr="000F0E93">
        <w:rPr>
          <w:rFonts w:ascii="Trebuchet MS" w:hAnsi="Trebuchet MS"/>
        </w:rPr>
        <w:t xml:space="preserve">(11,4%) </w:t>
      </w:r>
      <w:r w:rsidR="00776379" w:rsidRPr="000F0E93">
        <w:rPr>
          <w:rFonts w:ascii="Trebuchet MS" w:hAnsi="Trebuchet MS"/>
        </w:rPr>
        <w:t>sau</w:t>
      </w:r>
      <w:r w:rsidR="002F2B05" w:rsidRPr="000F0E93">
        <w:rPr>
          <w:rFonts w:ascii="Trebuchet MS" w:hAnsi="Trebuchet MS"/>
        </w:rPr>
        <w:t xml:space="preserve"> Întorsura (10,6%)</w:t>
      </w:r>
      <w:r w:rsidR="00776379" w:rsidRPr="000F0E93">
        <w:rPr>
          <w:rFonts w:ascii="Trebuchet MS" w:hAnsi="Trebuchet MS"/>
        </w:rPr>
        <w:t xml:space="preserve"> unde rata șomajul este foarte ridicată în raport cu media națională.</w:t>
      </w:r>
    </w:p>
    <w:p w:rsidR="00A32A37" w:rsidRPr="000F0E93" w:rsidRDefault="00776379" w:rsidP="000F0E93">
      <w:pPr>
        <w:spacing w:after="0" w:line="276" w:lineRule="auto"/>
        <w:jc w:val="both"/>
        <w:rPr>
          <w:rFonts w:ascii="Trebuchet MS" w:hAnsi="Trebuchet MS"/>
          <w:i/>
        </w:rPr>
      </w:pPr>
      <w:r w:rsidRPr="000F0E93">
        <w:rPr>
          <w:rFonts w:ascii="Trebuchet MS" w:hAnsi="Trebuchet MS"/>
          <w:i/>
        </w:rPr>
        <w:t>Tabel 2</w:t>
      </w:r>
      <w:r w:rsidR="00A32A37" w:rsidRPr="000F0E93">
        <w:rPr>
          <w:rFonts w:ascii="Trebuchet MS" w:hAnsi="Trebuchet MS"/>
          <w:i/>
        </w:rPr>
        <w:t>. Statistica întreprinderilor la nivel local în funcție de numărul de angajați în 2014</w:t>
      </w:r>
    </w:p>
    <w:tbl>
      <w:tblPr>
        <w:tblW w:w="9082" w:type="dxa"/>
        <w:tblInd w:w="-5" w:type="dxa"/>
        <w:tblLook w:val="04A0" w:firstRow="1" w:lastRow="0" w:firstColumn="1" w:lastColumn="0" w:noHBand="0" w:noVBand="1"/>
      </w:tblPr>
      <w:tblGrid>
        <w:gridCol w:w="2129"/>
        <w:gridCol w:w="1748"/>
        <w:gridCol w:w="1011"/>
        <w:gridCol w:w="1209"/>
        <w:gridCol w:w="1178"/>
        <w:gridCol w:w="951"/>
        <w:gridCol w:w="993"/>
      </w:tblGrid>
      <w:tr w:rsidR="002F2B05" w:rsidRPr="000F0E93" w:rsidTr="00D533F0">
        <w:trPr>
          <w:trHeight w:val="180"/>
        </w:trPr>
        <w:tc>
          <w:tcPr>
            <w:tcW w:w="21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Dimensiune</w:t>
            </w:r>
          </w:p>
        </w:tc>
        <w:tc>
          <w:tcPr>
            <w:tcW w:w="2622"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Cifra de afaceri</w:t>
            </w:r>
          </w:p>
        </w:tc>
        <w:tc>
          <w:tcPr>
            <w:tcW w:w="2387"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Număr întreprinderi active</w:t>
            </w:r>
          </w:p>
        </w:tc>
        <w:tc>
          <w:tcPr>
            <w:tcW w:w="1944" w:type="dxa"/>
            <w:gridSpan w:val="2"/>
            <w:tcBorders>
              <w:top w:val="single" w:sz="4" w:space="0" w:color="auto"/>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Număr mediu salariați</w:t>
            </w:r>
          </w:p>
        </w:tc>
      </w:tr>
      <w:tr w:rsidR="002F2B05" w:rsidRPr="000F0E93" w:rsidTr="00D533F0">
        <w:trPr>
          <w:trHeight w:val="180"/>
        </w:trPr>
        <w:tc>
          <w:tcPr>
            <w:tcW w:w="2129" w:type="dxa"/>
            <w:vMerge/>
            <w:tcBorders>
              <w:top w:val="single" w:sz="4" w:space="0" w:color="auto"/>
              <w:left w:val="single" w:sz="4" w:space="0" w:color="auto"/>
              <w:bottom w:val="single" w:sz="4" w:space="0" w:color="auto"/>
              <w:right w:val="single" w:sz="4" w:space="0" w:color="auto"/>
            </w:tcBorders>
            <w:vAlign w:val="center"/>
            <w:hideMark/>
          </w:tcPr>
          <w:p w:rsidR="003A7E1D" w:rsidRPr="000F0E93" w:rsidRDefault="003A7E1D" w:rsidP="000F0E93">
            <w:pPr>
              <w:spacing w:after="0" w:line="276" w:lineRule="auto"/>
              <w:rPr>
                <w:rFonts w:ascii="Trebuchet MS" w:eastAsia="Times New Roman" w:hAnsi="Trebuchet MS" w:cs="Times New Roman"/>
                <w:b/>
                <w:bCs/>
                <w:lang w:eastAsia="ro-RO"/>
              </w:rPr>
            </w:pPr>
          </w:p>
        </w:tc>
        <w:tc>
          <w:tcPr>
            <w:tcW w:w="161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RON</w:t>
            </w:r>
          </w:p>
        </w:tc>
        <w:tc>
          <w:tcPr>
            <w:tcW w:w="101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w:t>
            </w:r>
          </w:p>
        </w:tc>
        <w:tc>
          <w:tcPr>
            <w:tcW w:w="1209"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Nr.</w:t>
            </w:r>
          </w:p>
        </w:tc>
        <w:tc>
          <w:tcPr>
            <w:tcW w:w="1177"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w:t>
            </w:r>
          </w:p>
        </w:tc>
        <w:tc>
          <w:tcPr>
            <w:tcW w:w="95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Nr.</w:t>
            </w:r>
          </w:p>
        </w:tc>
        <w:tc>
          <w:tcPr>
            <w:tcW w:w="993"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w:t>
            </w:r>
          </w:p>
        </w:tc>
      </w:tr>
      <w:tr w:rsidR="002F2B05" w:rsidRPr="000F0E93" w:rsidTr="00D533F0">
        <w:trPr>
          <w:trHeight w:val="18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rPr>
                <w:rFonts w:ascii="Trebuchet MS" w:eastAsia="Times New Roman" w:hAnsi="Trebuchet MS" w:cs="Times New Roman"/>
                <w:lang w:eastAsia="ro-RO"/>
              </w:rPr>
            </w:pPr>
            <w:r w:rsidRPr="000F0E93">
              <w:rPr>
                <w:rFonts w:ascii="Trebuchet MS" w:eastAsia="Times New Roman" w:hAnsi="Trebuchet MS" w:cs="Times New Roman"/>
                <w:lang w:eastAsia="ro-RO"/>
              </w:rPr>
              <w:t>0 -&gt; 9</w:t>
            </w:r>
          </w:p>
        </w:tc>
        <w:tc>
          <w:tcPr>
            <w:tcW w:w="1611" w:type="dxa"/>
            <w:tcBorders>
              <w:top w:val="nil"/>
              <w:left w:val="nil"/>
              <w:bottom w:val="single" w:sz="4" w:space="0" w:color="auto"/>
              <w:right w:val="single" w:sz="4" w:space="0" w:color="auto"/>
            </w:tcBorders>
            <w:shd w:val="clear" w:color="auto" w:fill="auto"/>
            <w:noWrap/>
          </w:tcPr>
          <w:p w:rsidR="003A7E1D" w:rsidRPr="000F0E93" w:rsidRDefault="003A7E1D" w:rsidP="000F0E93">
            <w:pPr>
              <w:spacing w:after="0" w:line="276" w:lineRule="auto"/>
              <w:jc w:val="center"/>
              <w:rPr>
                <w:rFonts w:ascii="Trebuchet MS" w:hAnsi="Trebuchet MS"/>
              </w:rPr>
            </w:pPr>
            <w:r w:rsidRPr="000F0E93">
              <w:rPr>
                <w:rFonts w:ascii="Trebuchet MS" w:hAnsi="Trebuchet MS"/>
              </w:rPr>
              <w:t>74.360.483</w:t>
            </w:r>
          </w:p>
        </w:tc>
        <w:tc>
          <w:tcPr>
            <w:tcW w:w="101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6,01%</w:t>
            </w:r>
          </w:p>
        </w:tc>
        <w:tc>
          <w:tcPr>
            <w:tcW w:w="1209"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333</w:t>
            </w:r>
          </w:p>
        </w:tc>
        <w:tc>
          <w:tcPr>
            <w:tcW w:w="1177"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85,60%</w:t>
            </w:r>
          </w:p>
        </w:tc>
        <w:tc>
          <w:tcPr>
            <w:tcW w:w="95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594</w:t>
            </w:r>
          </w:p>
        </w:tc>
        <w:tc>
          <w:tcPr>
            <w:tcW w:w="993"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20,90%</w:t>
            </w:r>
          </w:p>
        </w:tc>
      </w:tr>
      <w:tr w:rsidR="002F2B05" w:rsidRPr="000F0E93" w:rsidTr="00D533F0">
        <w:trPr>
          <w:trHeight w:val="18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rPr>
                <w:rFonts w:ascii="Trebuchet MS" w:eastAsia="Times New Roman" w:hAnsi="Trebuchet MS" w:cs="Times New Roman"/>
                <w:lang w:eastAsia="ro-RO"/>
              </w:rPr>
            </w:pPr>
            <w:r w:rsidRPr="000F0E93">
              <w:rPr>
                <w:rFonts w:ascii="Trebuchet MS" w:eastAsia="Times New Roman" w:hAnsi="Trebuchet MS" w:cs="Times New Roman"/>
                <w:lang w:eastAsia="ro-RO"/>
              </w:rPr>
              <w:t>10 -&gt; 49</w:t>
            </w:r>
          </w:p>
        </w:tc>
        <w:tc>
          <w:tcPr>
            <w:tcW w:w="1611" w:type="dxa"/>
            <w:tcBorders>
              <w:top w:val="nil"/>
              <w:left w:val="nil"/>
              <w:bottom w:val="single" w:sz="4" w:space="0" w:color="auto"/>
              <w:right w:val="single" w:sz="4" w:space="0" w:color="auto"/>
            </w:tcBorders>
            <w:shd w:val="clear" w:color="auto" w:fill="auto"/>
            <w:noWrap/>
          </w:tcPr>
          <w:p w:rsidR="003A7E1D" w:rsidRPr="000F0E93" w:rsidRDefault="003A7E1D" w:rsidP="000F0E93">
            <w:pPr>
              <w:spacing w:after="0" w:line="276" w:lineRule="auto"/>
              <w:jc w:val="center"/>
              <w:rPr>
                <w:rFonts w:ascii="Trebuchet MS" w:hAnsi="Trebuchet MS"/>
              </w:rPr>
            </w:pPr>
            <w:r w:rsidRPr="000F0E93">
              <w:rPr>
                <w:rFonts w:ascii="Trebuchet MS" w:hAnsi="Trebuchet MS"/>
              </w:rPr>
              <w:t>212.196.781</w:t>
            </w:r>
          </w:p>
        </w:tc>
        <w:tc>
          <w:tcPr>
            <w:tcW w:w="101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17,14%</w:t>
            </w:r>
          </w:p>
        </w:tc>
        <w:tc>
          <w:tcPr>
            <w:tcW w:w="1209"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48</w:t>
            </w:r>
          </w:p>
        </w:tc>
        <w:tc>
          <w:tcPr>
            <w:tcW w:w="1177"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12,34%</w:t>
            </w:r>
          </w:p>
        </w:tc>
        <w:tc>
          <w:tcPr>
            <w:tcW w:w="95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883</w:t>
            </w:r>
          </w:p>
        </w:tc>
        <w:tc>
          <w:tcPr>
            <w:tcW w:w="993"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31,07%</w:t>
            </w:r>
          </w:p>
        </w:tc>
      </w:tr>
      <w:tr w:rsidR="002F2B05" w:rsidRPr="000F0E93" w:rsidTr="00D533F0">
        <w:trPr>
          <w:trHeight w:val="18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rPr>
                <w:rFonts w:ascii="Trebuchet MS" w:eastAsia="Times New Roman" w:hAnsi="Trebuchet MS" w:cs="Times New Roman"/>
                <w:lang w:eastAsia="ro-RO"/>
              </w:rPr>
            </w:pPr>
            <w:r w:rsidRPr="000F0E93">
              <w:rPr>
                <w:rFonts w:ascii="Trebuchet MS" w:eastAsia="Times New Roman" w:hAnsi="Trebuchet MS" w:cs="Times New Roman"/>
                <w:lang w:eastAsia="ro-RO"/>
              </w:rPr>
              <w:t>50 -&gt; 249</w:t>
            </w:r>
          </w:p>
        </w:tc>
        <w:tc>
          <w:tcPr>
            <w:tcW w:w="1611" w:type="dxa"/>
            <w:tcBorders>
              <w:top w:val="nil"/>
              <w:left w:val="nil"/>
              <w:bottom w:val="single" w:sz="4" w:space="0" w:color="auto"/>
              <w:right w:val="single" w:sz="4" w:space="0" w:color="auto"/>
            </w:tcBorders>
            <w:shd w:val="clear" w:color="auto" w:fill="auto"/>
            <w:noWrap/>
          </w:tcPr>
          <w:p w:rsidR="003A7E1D" w:rsidRPr="000F0E93" w:rsidRDefault="003A7E1D" w:rsidP="000F0E93">
            <w:pPr>
              <w:spacing w:after="0" w:line="276" w:lineRule="auto"/>
              <w:jc w:val="center"/>
              <w:rPr>
                <w:rFonts w:ascii="Trebuchet MS" w:hAnsi="Trebuchet MS"/>
              </w:rPr>
            </w:pPr>
            <w:r w:rsidRPr="000F0E93">
              <w:rPr>
                <w:rFonts w:ascii="Trebuchet MS" w:hAnsi="Trebuchet MS"/>
              </w:rPr>
              <w:t>158.885.015</w:t>
            </w:r>
          </w:p>
        </w:tc>
        <w:tc>
          <w:tcPr>
            <w:tcW w:w="101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12,84%</w:t>
            </w:r>
          </w:p>
        </w:tc>
        <w:tc>
          <w:tcPr>
            <w:tcW w:w="1209"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6</w:t>
            </w:r>
          </w:p>
        </w:tc>
        <w:tc>
          <w:tcPr>
            <w:tcW w:w="1177"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1,54%</w:t>
            </w:r>
          </w:p>
        </w:tc>
        <w:tc>
          <w:tcPr>
            <w:tcW w:w="95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541</w:t>
            </w:r>
          </w:p>
        </w:tc>
        <w:tc>
          <w:tcPr>
            <w:tcW w:w="993"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19,04%</w:t>
            </w:r>
          </w:p>
        </w:tc>
      </w:tr>
      <w:tr w:rsidR="002F2B05" w:rsidRPr="000F0E93" w:rsidTr="00D533F0">
        <w:trPr>
          <w:trHeight w:val="18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rsidR="003A7E1D" w:rsidRPr="000F0E93" w:rsidRDefault="002F2B05" w:rsidP="000F0E93">
            <w:pPr>
              <w:spacing w:after="0" w:line="276" w:lineRule="auto"/>
              <w:rPr>
                <w:rFonts w:ascii="Trebuchet MS" w:eastAsia="Times New Roman" w:hAnsi="Trebuchet MS" w:cs="Times New Roman"/>
                <w:lang w:eastAsia="ro-RO"/>
              </w:rPr>
            </w:pPr>
            <w:r w:rsidRPr="000F0E93">
              <w:rPr>
                <w:rFonts w:ascii="Trebuchet MS" w:eastAsia="Times New Roman" w:hAnsi="Trebuchet MS" w:cs="Times New Roman"/>
                <w:lang w:eastAsia="ro-RO"/>
              </w:rPr>
              <w:t>2</w:t>
            </w:r>
            <w:r w:rsidR="003A7E1D" w:rsidRPr="000F0E93">
              <w:rPr>
                <w:rFonts w:ascii="Trebuchet MS" w:eastAsia="Times New Roman" w:hAnsi="Trebuchet MS" w:cs="Times New Roman"/>
                <w:lang w:eastAsia="ro-RO"/>
              </w:rPr>
              <w:t>50 salariați si peste</w:t>
            </w:r>
          </w:p>
        </w:tc>
        <w:tc>
          <w:tcPr>
            <w:tcW w:w="1611" w:type="dxa"/>
            <w:tcBorders>
              <w:top w:val="nil"/>
              <w:left w:val="nil"/>
              <w:bottom w:val="single" w:sz="4" w:space="0" w:color="auto"/>
              <w:right w:val="single" w:sz="4" w:space="0" w:color="auto"/>
            </w:tcBorders>
            <w:shd w:val="clear" w:color="auto" w:fill="auto"/>
            <w:noWrap/>
          </w:tcPr>
          <w:p w:rsidR="003A7E1D" w:rsidRPr="000F0E93" w:rsidRDefault="003A7E1D" w:rsidP="000F0E93">
            <w:pPr>
              <w:spacing w:after="0" w:line="276" w:lineRule="auto"/>
              <w:jc w:val="center"/>
              <w:rPr>
                <w:rFonts w:ascii="Trebuchet MS" w:hAnsi="Trebuchet MS"/>
              </w:rPr>
            </w:pPr>
            <w:r w:rsidRPr="000F0E93">
              <w:rPr>
                <w:rFonts w:ascii="Trebuchet MS" w:hAnsi="Trebuchet MS"/>
              </w:rPr>
              <w:t>792.276.662</w:t>
            </w:r>
          </w:p>
        </w:tc>
        <w:tc>
          <w:tcPr>
            <w:tcW w:w="101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64,01%</w:t>
            </w:r>
          </w:p>
        </w:tc>
        <w:tc>
          <w:tcPr>
            <w:tcW w:w="1209"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w:t>
            </w:r>
          </w:p>
        </w:tc>
        <w:tc>
          <w:tcPr>
            <w:tcW w:w="1177"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0,51%</w:t>
            </w:r>
          </w:p>
        </w:tc>
        <w:tc>
          <w:tcPr>
            <w:tcW w:w="95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824</w:t>
            </w:r>
          </w:p>
        </w:tc>
        <w:tc>
          <w:tcPr>
            <w:tcW w:w="993"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lang w:eastAsia="ro-RO"/>
              </w:rPr>
            </w:pPr>
            <w:r w:rsidRPr="000F0E93">
              <w:rPr>
                <w:rFonts w:ascii="Trebuchet MS" w:eastAsia="Times New Roman" w:hAnsi="Trebuchet MS" w:cs="Times New Roman"/>
                <w:lang w:eastAsia="ro-RO"/>
              </w:rPr>
              <w:t>28,99%</w:t>
            </w:r>
          </w:p>
        </w:tc>
      </w:tr>
      <w:tr w:rsidR="002F2B05" w:rsidRPr="000F0E93" w:rsidTr="00D533F0">
        <w:trPr>
          <w:trHeight w:val="18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Total</w:t>
            </w:r>
          </w:p>
        </w:tc>
        <w:tc>
          <w:tcPr>
            <w:tcW w:w="161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1</w:t>
            </w:r>
            <w:r w:rsidR="00AB66CC" w:rsidRPr="000F0E93">
              <w:rPr>
                <w:rFonts w:ascii="Trebuchet MS" w:eastAsia="Times New Roman" w:hAnsi="Trebuchet MS" w:cs="Times New Roman"/>
                <w:b/>
                <w:bCs/>
                <w:lang w:eastAsia="ro-RO"/>
              </w:rPr>
              <w:t>.</w:t>
            </w:r>
            <w:r w:rsidRPr="000F0E93">
              <w:rPr>
                <w:rFonts w:ascii="Trebuchet MS" w:eastAsia="Times New Roman" w:hAnsi="Trebuchet MS" w:cs="Times New Roman"/>
                <w:b/>
                <w:bCs/>
                <w:lang w:eastAsia="ro-RO"/>
              </w:rPr>
              <w:t>237</w:t>
            </w:r>
            <w:r w:rsidR="00AB66CC" w:rsidRPr="000F0E93">
              <w:rPr>
                <w:rFonts w:ascii="Trebuchet MS" w:eastAsia="Times New Roman" w:hAnsi="Trebuchet MS" w:cs="Times New Roman"/>
                <w:b/>
                <w:bCs/>
                <w:lang w:eastAsia="ro-RO"/>
              </w:rPr>
              <w:t>.</w:t>
            </w:r>
            <w:r w:rsidRPr="000F0E93">
              <w:rPr>
                <w:rFonts w:ascii="Trebuchet MS" w:eastAsia="Times New Roman" w:hAnsi="Trebuchet MS" w:cs="Times New Roman"/>
                <w:b/>
                <w:bCs/>
                <w:lang w:eastAsia="ro-RO"/>
              </w:rPr>
              <w:t>718</w:t>
            </w:r>
            <w:r w:rsidR="00AB66CC" w:rsidRPr="000F0E93">
              <w:rPr>
                <w:rFonts w:ascii="Trebuchet MS" w:eastAsia="Times New Roman" w:hAnsi="Trebuchet MS" w:cs="Times New Roman"/>
                <w:b/>
                <w:bCs/>
                <w:lang w:eastAsia="ro-RO"/>
              </w:rPr>
              <w:t>.</w:t>
            </w:r>
            <w:r w:rsidRPr="000F0E93">
              <w:rPr>
                <w:rFonts w:ascii="Trebuchet MS" w:eastAsia="Times New Roman" w:hAnsi="Trebuchet MS" w:cs="Times New Roman"/>
                <w:b/>
                <w:bCs/>
                <w:lang w:eastAsia="ro-RO"/>
              </w:rPr>
              <w:t>941</w:t>
            </w:r>
          </w:p>
        </w:tc>
        <w:tc>
          <w:tcPr>
            <w:tcW w:w="101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100%</w:t>
            </w:r>
          </w:p>
        </w:tc>
        <w:tc>
          <w:tcPr>
            <w:tcW w:w="1209"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389</w:t>
            </w:r>
          </w:p>
        </w:tc>
        <w:tc>
          <w:tcPr>
            <w:tcW w:w="1177"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100%</w:t>
            </w:r>
          </w:p>
        </w:tc>
        <w:tc>
          <w:tcPr>
            <w:tcW w:w="951"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2842</w:t>
            </w:r>
          </w:p>
        </w:tc>
        <w:tc>
          <w:tcPr>
            <w:tcW w:w="993" w:type="dxa"/>
            <w:tcBorders>
              <w:top w:val="nil"/>
              <w:left w:val="nil"/>
              <w:bottom w:val="single" w:sz="4" w:space="0" w:color="auto"/>
              <w:right w:val="single" w:sz="4" w:space="0" w:color="auto"/>
            </w:tcBorders>
            <w:shd w:val="clear" w:color="auto" w:fill="auto"/>
            <w:noWrap/>
            <w:vAlign w:val="center"/>
            <w:hideMark/>
          </w:tcPr>
          <w:p w:rsidR="003A7E1D" w:rsidRPr="000F0E93" w:rsidRDefault="003A7E1D" w:rsidP="000F0E93">
            <w:pPr>
              <w:spacing w:after="0" w:line="276" w:lineRule="auto"/>
              <w:jc w:val="center"/>
              <w:rPr>
                <w:rFonts w:ascii="Trebuchet MS" w:eastAsia="Times New Roman" w:hAnsi="Trebuchet MS" w:cs="Times New Roman"/>
                <w:b/>
                <w:bCs/>
                <w:lang w:eastAsia="ro-RO"/>
              </w:rPr>
            </w:pPr>
            <w:r w:rsidRPr="000F0E93">
              <w:rPr>
                <w:rFonts w:ascii="Trebuchet MS" w:eastAsia="Times New Roman" w:hAnsi="Trebuchet MS" w:cs="Times New Roman"/>
                <w:b/>
                <w:bCs/>
                <w:lang w:eastAsia="ro-RO"/>
              </w:rPr>
              <w:t>100%</w:t>
            </w:r>
          </w:p>
        </w:tc>
      </w:tr>
    </w:tbl>
    <w:p w:rsidR="000078D8" w:rsidRPr="000F0E93" w:rsidRDefault="00A32A37" w:rsidP="000F0E93">
      <w:pPr>
        <w:spacing w:after="0" w:line="276" w:lineRule="auto"/>
        <w:jc w:val="center"/>
        <w:rPr>
          <w:rFonts w:ascii="Trebuchet MS" w:hAnsi="Trebuchet MS"/>
          <w:u w:val="single"/>
        </w:rPr>
      </w:pPr>
      <w:r w:rsidRPr="000F0E93">
        <w:rPr>
          <w:rFonts w:ascii="Trebuchet MS" w:hAnsi="Trebuchet MS"/>
          <w:u w:val="single"/>
        </w:rPr>
        <w:t>Sursa: calculele autorului pe baza datelor Institutului Național de Statistică</w:t>
      </w:r>
    </w:p>
    <w:p w:rsidR="002373E4" w:rsidRPr="000F0E93" w:rsidRDefault="00BF6A9A" w:rsidP="000F0E93">
      <w:pPr>
        <w:spacing w:after="0" w:line="276" w:lineRule="auto"/>
        <w:ind w:firstLine="708"/>
        <w:jc w:val="both"/>
        <w:rPr>
          <w:rFonts w:ascii="Trebuchet MS" w:hAnsi="Trebuchet MS"/>
          <w:color w:val="00B0F0"/>
        </w:rPr>
      </w:pPr>
      <w:r w:rsidRPr="000F0E93">
        <w:rPr>
          <w:rFonts w:ascii="Trebuchet MS" w:hAnsi="Trebuchet MS"/>
        </w:rPr>
        <w:t xml:space="preserve">Conform Recensământului General Agricol 2010, </w:t>
      </w:r>
      <w:r w:rsidR="000C4FC6" w:rsidRPr="000F0E93">
        <w:rPr>
          <w:rFonts w:ascii="Trebuchet MS" w:hAnsi="Trebuchet MS"/>
        </w:rPr>
        <w:t xml:space="preserve">din populația totală de </w:t>
      </w:r>
      <w:r w:rsidR="00444145" w:rsidRPr="000F0E93">
        <w:rPr>
          <w:rFonts w:ascii="Trebuchet MS" w:hAnsi="Trebuchet MS"/>
        </w:rPr>
        <w:t>39.349</w:t>
      </w:r>
      <w:r w:rsidRPr="000F0E93">
        <w:rPr>
          <w:rFonts w:ascii="Trebuchet MS" w:hAnsi="Trebuchet MS"/>
        </w:rPr>
        <w:t xml:space="preserve"> de locuitori</w:t>
      </w:r>
      <w:r w:rsidR="000C4FC6" w:rsidRPr="000F0E93">
        <w:rPr>
          <w:rFonts w:ascii="Trebuchet MS" w:hAnsi="Trebuchet MS"/>
        </w:rPr>
        <w:t xml:space="preserve">, </w:t>
      </w:r>
      <w:r w:rsidR="00444145" w:rsidRPr="000F0E93">
        <w:rPr>
          <w:rFonts w:ascii="Trebuchet MS" w:hAnsi="Trebuchet MS"/>
        </w:rPr>
        <w:t>aproximativ</w:t>
      </w:r>
      <w:r w:rsidR="002D0FD0" w:rsidRPr="000F0E93">
        <w:rPr>
          <w:rFonts w:ascii="Trebuchet MS" w:hAnsi="Trebuchet MS"/>
        </w:rPr>
        <w:t xml:space="preserve"> două treimi (</w:t>
      </w:r>
      <w:r w:rsidR="00444145" w:rsidRPr="000F0E93">
        <w:rPr>
          <w:rFonts w:ascii="Trebuchet MS" w:hAnsi="Trebuchet MS"/>
        </w:rPr>
        <w:t>65,6</w:t>
      </w:r>
      <w:r w:rsidR="000C4FC6" w:rsidRPr="000F0E93">
        <w:rPr>
          <w:rFonts w:ascii="Trebuchet MS" w:hAnsi="Trebuchet MS"/>
        </w:rPr>
        <w:t xml:space="preserve">% - </w:t>
      </w:r>
      <w:r w:rsidR="00444145" w:rsidRPr="000F0E93">
        <w:rPr>
          <w:rFonts w:ascii="Trebuchet MS" w:hAnsi="Trebuchet MS"/>
        </w:rPr>
        <w:t>25.817</w:t>
      </w:r>
      <w:r w:rsidR="002D0FD0" w:rsidRPr="000F0E93">
        <w:rPr>
          <w:rFonts w:ascii="Trebuchet MS" w:hAnsi="Trebuchet MS"/>
        </w:rPr>
        <w:t xml:space="preserve"> </w:t>
      </w:r>
      <w:r w:rsidRPr="000F0E93">
        <w:rPr>
          <w:rFonts w:ascii="Trebuchet MS" w:hAnsi="Trebuchet MS"/>
        </w:rPr>
        <w:t>de persoane) au desfășurat activități economice</w:t>
      </w:r>
      <w:r w:rsidR="000C4FC6" w:rsidRPr="000F0E93">
        <w:rPr>
          <w:rFonts w:ascii="Trebuchet MS" w:hAnsi="Trebuchet MS"/>
        </w:rPr>
        <w:t xml:space="preserve"> în cadrul exploatațiilor agricole. În acest context, o analiză mai amănunțită a sectorului agricol și agroalimentar este necesară pentru a defini corespunzător obiectivele și instrumentele de intervenție a Strategiei de Dezvoltare Locală</w:t>
      </w:r>
      <w:r w:rsidR="00042F26" w:rsidRPr="000F0E93">
        <w:rPr>
          <w:rFonts w:ascii="Trebuchet MS" w:hAnsi="Trebuchet MS"/>
        </w:rPr>
        <w:t xml:space="preserve"> 2014-2020</w:t>
      </w:r>
      <w:r w:rsidR="000C4FC6" w:rsidRPr="000F0E93">
        <w:rPr>
          <w:rFonts w:ascii="Trebuchet MS" w:hAnsi="Trebuchet MS"/>
        </w:rPr>
        <w:t>.</w:t>
      </w:r>
      <w:r w:rsidR="00D533F0" w:rsidRPr="000F0E93">
        <w:rPr>
          <w:rFonts w:ascii="Trebuchet MS" w:hAnsi="Trebuchet MS"/>
        </w:rPr>
        <w:t xml:space="preserve"> </w:t>
      </w:r>
      <w:r w:rsidR="000C4FC6" w:rsidRPr="000F0E93">
        <w:rPr>
          <w:rFonts w:ascii="Trebuchet MS" w:hAnsi="Trebuchet MS"/>
        </w:rPr>
        <w:t>Fondul f</w:t>
      </w:r>
      <w:r w:rsidR="005933F2">
        <w:rPr>
          <w:rFonts w:ascii="Trebuchet MS" w:hAnsi="Trebuchet MS"/>
        </w:rPr>
        <w:t xml:space="preserve">unciar la </w:t>
      </w:r>
      <w:r w:rsidR="005933F2">
        <w:rPr>
          <w:rFonts w:ascii="Trebuchet MS" w:hAnsi="Trebuchet MS"/>
        </w:rPr>
        <w:lastRenderedPageBreak/>
        <w:t xml:space="preserve">nivelul </w:t>
      </w:r>
      <w:r w:rsidR="000C4FC6" w:rsidRPr="000F0E93">
        <w:rPr>
          <w:rFonts w:ascii="Trebuchet MS" w:hAnsi="Trebuchet MS"/>
        </w:rPr>
        <w:t>teritoriu</w:t>
      </w:r>
      <w:r w:rsidR="005933F2">
        <w:rPr>
          <w:rFonts w:ascii="Trebuchet MS" w:hAnsi="Trebuchet MS"/>
        </w:rPr>
        <w:t>lui</w:t>
      </w:r>
      <w:r w:rsidR="000C4FC6" w:rsidRPr="000F0E93">
        <w:rPr>
          <w:rFonts w:ascii="Trebuchet MS" w:hAnsi="Trebuchet MS"/>
        </w:rPr>
        <w:t xml:space="preserve"> GAL </w:t>
      </w:r>
      <w:r w:rsidR="009B0E91" w:rsidRPr="000F0E93">
        <w:rPr>
          <w:rFonts w:ascii="Trebuchet MS" w:hAnsi="Trebuchet MS"/>
        </w:rPr>
        <w:t>Segarcea</w:t>
      </w:r>
      <w:r w:rsidR="000C4FC6" w:rsidRPr="000F0E93">
        <w:rPr>
          <w:rFonts w:ascii="Trebuchet MS" w:hAnsi="Trebuchet MS"/>
        </w:rPr>
        <w:t xml:space="preserve"> este alcătuit preponderent din suprafața agricolă (</w:t>
      </w:r>
      <w:r w:rsidR="00444145" w:rsidRPr="000F0E93">
        <w:rPr>
          <w:rFonts w:ascii="Trebuchet MS" w:hAnsi="Trebuchet MS"/>
        </w:rPr>
        <w:t>81,1</w:t>
      </w:r>
      <w:r w:rsidR="000C4FC6" w:rsidRPr="000F0E93">
        <w:rPr>
          <w:rFonts w:ascii="Trebuchet MS" w:hAnsi="Trebuchet MS"/>
        </w:rPr>
        <w:t xml:space="preserve">%), din care arabilă aproximativ </w:t>
      </w:r>
      <w:r w:rsidR="00444145" w:rsidRPr="000F0E93">
        <w:rPr>
          <w:rFonts w:ascii="Trebuchet MS" w:hAnsi="Trebuchet MS"/>
        </w:rPr>
        <w:t>68,5</w:t>
      </w:r>
      <w:r w:rsidR="000C4FC6" w:rsidRPr="000F0E93">
        <w:rPr>
          <w:rFonts w:ascii="Trebuchet MS" w:hAnsi="Trebuchet MS"/>
        </w:rPr>
        <w:t>%, dar și de suprafețe restrânse de pășuni (</w:t>
      </w:r>
      <w:r w:rsidR="00444145" w:rsidRPr="000F0E93">
        <w:rPr>
          <w:rFonts w:ascii="Trebuchet MS" w:hAnsi="Trebuchet MS"/>
        </w:rPr>
        <w:t>7</w:t>
      </w:r>
      <w:r w:rsidR="000C4FC6" w:rsidRPr="000F0E93">
        <w:rPr>
          <w:rFonts w:ascii="Trebuchet MS" w:hAnsi="Trebuchet MS"/>
        </w:rPr>
        <w:t>,</w:t>
      </w:r>
      <w:r w:rsidR="002373E4" w:rsidRPr="000F0E93">
        <w:rPr>
          <w:rFonts w:ascii="Trebuchet MS" w:hAnsi="Trebuchet MS"/>
        </w:rPr>
        <w:t>6</w:t>
      </w:r>
      <w:r w:rsidR="000C4FC6" w:rsidRPr="000F0E93">
        <w:rPr>
          <w:rFonts w:ascii="Trebuchet MS" w:hAnsi="Trebuchet MS"/>
        </w:rPr>
        <w:t>%), păduri și alte vegetații forestiere (</w:t>
      </w:r>
      <w:r w:rsidR="002373E4" w:rsidRPr="000F0E93">
        <w:rPr>
          <w:rFonts w:ascii="Trebuchet MS" w:hAnsi="Trebuchet MS"/>
        </w:rPr>
        <w:t>1</w:t>
      </w:r>
      <w:r w:rsidR="00444145" w:rsidRPr="000F0E93">
        <w:rPr>
          <w:rFonts w:ascii="Trebuchet MS" w:hAnsi="Trebuchet MS"/>
        </w:rPr>
        <w:t>1</w:t>
      </w:r>
      <w:r w:rsidR="002373E4" w:rsidRPr="000F0E93">
        <w:rPr>
          <w:rFonts w:ascii="Trebuchet MS" w:hAnsi="Trebuchet MS"/>
        </w:rPr>
        <w:t>,</w:t>
      </w:r>
      <w:r w:rsidR="00444145" w:rsidRPr="000F0E93">
        <w:rPr>
          <w:rFonts w:ascii="Trebuchet MS" w:hAnsi="Trebuchet MS"/>
        </w:rPr>
        <w:t>1</w:t>
      </w:r>
      <w:r w:rsidR="000C4FC6" w:rsidRPr="000F0E93">
        <w:rPr>
          <w:rFonts w:ascii="Trebuchet MS" w:hAnsi="Trebuchet MS"/>
        </w:rPr>
        <w:t xml:space="preserve">%) sau alte suprafețe. </w:t>
      </w:r>
    </w:p>
    <w:p w:rsidR="000C4FC6" w:rsidRPr="000F0E93" w:rsidRDefault="000078D8" w:rsidP="000F0E93">
      <w:pPr>
        <w:spacing w:after="0" w:line="276" w:lineRule="auto"/>
        <w:jc w:val="both"/>
        <w:rPr>
          <w:rFonts w:ascii="Trebuchet MS" w:hAnsi="Trebuchet MS"/>
          <w:i/>
        </w:rPr>
      </w:pPr>
      <w:r w:rsidRPr="000F0E93">
        <w:rPr>
          <w:rFonts w:ascii="Trebuchet MS" w:hAnsi="Trebuchet MS"/>
          <w:i/>
        </w:rPr>
        <w:t xml:space="preserve">Figura </w:t>
      </w:r>
      <w:r w:rsidR="00F92B8B" w:rsidRPr="000F0E93">
        <w:rPr>
          <w:rFonts w:ascii="Trebuchet MS" w:hAnsi="Trebuchet MS"/>
          <w:i/>
        </w:rPr>
        <w:t>2</w:t>
      </w:r>
      <w:r w:rsidR="000C4FC6" w:rsidRPr="000F0E93">
        <w:rPr>
          <w:rFonts w:ascii="Trebuchet MS" w:hAnsi="Trebuchet MS"/>
          <w:i/>
        </w:rPr>
        <w:t>. Suprafața fondului funciar în anul 2014 (hectare)</w:t>
      </w:r>
    </w:p>
    <w:p w:rsidR="000C4FC6" w:rsidRPr="000F0E93" w:rsidRDefault="00444145" w:rsidP="000F0E93">
      <w:pPr>
        <w:spacing w:after="0" w:line="276" w:lineRule="auto"/>
        <w:jc w:val="both"/>
        <w:rPr>
          <w:rFonts w:ascii="Trebuchet MS" w:hAnsi="Trebuchet MS"/>
        </w:rPr>
      </w:pPr>
      <w:r w:rsidRPr="000F0E93">
        <w:rPr>
          <w:rFonts w:ascii="Trebuchet MS" w:hAnsi="Trebuchet MS"/>
          <w:noProof/>
          <w:lang w:val="en-US"/>
        </w:rPr>
        <w:drawing>
          <wp:inline distT="0" distB="0" distL="0" distR="0">
            <wp:extent cx="5760720" cy="1543507"/>
            <wp:effectExtent l="0" t="0" r="1143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C4FC6" w:rsidRPr="00AE46B8" w:rsidRDefault="000C4FC6" w:rsidP="00AE46B8">
      <w:pPr>
        <w:spacing w:after="0" w:line="276" w:lineRule="auto"/>
        <w:jc w:val="center"/>
        <w:rPr>
          <w:rFonts w:ascii="Trebuchet MS" w:hAnsi="Trebuchet MS" w:cs="Arial"/>
          <w:u w:val="single"/>
        </w:rPr>
      </w:pPr>
      <w:r w:rsidRPr="00AE46B8">
        <w:rPr>
          <w:rFonts w:ascii="Trebuchet MS" w:hAnsi="Trebuchet MS" w:cs="Arial"/>
          <w:u w:val="single"/>
        </w:rPr>
        <w:t xml:space="preserve">Sursa: Institutul Național de Statistică, link:  </w:t>
      </w:r>
      <w:r w:rsidR="007F7269" w:rsidRPr="00AE46B8">
        <w:fldChar w:fldCharType="begin"/>
      </w:r>
      <w:r w:rsidR="007F7269" w:rsidRPr="00AE46B8">
        <w:rPr>
          <w:rFonts w:ascii="Trebuchet MS" w:hAnsi="Trebuchet MS"/>
          <w:u w:val="single"/>
        </w:rPr>
        <w:instrText xml:space="preserve"> HYPERLINK "http://statistici.insse.ro/shop/index.jsp?page=tempo3&amp;lang=ro&amp;ind=AGR101B" </w:instrText>
      </w:r>
      <w:r w:rsidR="007F7269" w:rsidRPr="00AE46B8">
        <w:fldChar w:fldCharType="separate"/>
      </w:r>
      <w:r w:rsidRPr="00AE46B8">
        <w:rPr>
          <w:rStyle w:val="Hyperlink"/>
          <w:rFonts w:ascii="Trebuchet MS" w:hAnsi="Trebuchet MS"/>
          <w:color w:val="auto"/>
        </w:rPr>
        <w:t>http://statistici.insse.ro/shop/index.jsp?page=tempo3&amp;lang=ro&amp;ind=AGR101B</w:t>
      </w:r>
      <w:r w:rsidR="007F7269" w:rsidRPr="00AE46B8">
        <w:rPr>
          <w:rStyle w:val="Hyperlink"/>
          <w:rFonts w:ascii="Trebuchet MS" w:hAnsi="Trebuchet MS"/>
          <w:color w:val="auto"/>
        </w:rPr>
        <w:fldChar w:fldCharType="end"/>
      </w:r>
    </w:p>
    <w:p w:rsidR="00042F26" w:rsidRPr="000F0E93" w:rsidRDefault="00042F26" w:rsidP="000F0E93">
      <w:pPr>
        <w:spacing w:after="0" w:line="276" w:lineRule="auto"/>
        <w:ind w:firstLine="708"/>
        <w:jc w:val="both"/>
        <w:rPr>
          <w:rFonts w:ascii="Trebuchet MS" w:hAnsi="Trebuchet MS"/>
        </w:rPr>
      </w:pPr>
      <w:r w:rsidRPr="000F0E93">
        <w:rPr>
          <w:rFonts w:ascii="Trebuchet MS" w:hAnsi="Trebuchet MS"/>
        </w:rPr>
        <w:t xml:space="preserve">Suprafața agricolă este utilizată de </w:t>
      </w:r>
      <w:r w:rsidR="00D9116F" w:rsidRPr="000F0E93">
        <w:rPr>
          <w:rFonts w:ascii="Trebuchet MS" w:hAnsi="Trebuchet MS"/>
        </w:rPr>
        <w:t>13.762</w:t>
      </w:r>
      <w:r w:rsidRPr="000F0E93">
        <w:rPr>
          <w:rFonts w:ascii="Trebuchet MS" w:hAnsi="Trebuchet MS"/>
        </w:rPr>
        <w:t xml:space="preserve"> de exploatații agricole iar suprafața agricolă utilizată ce revine în medie pentru </w:t>
      </w:r>
      <w:r w:rsidR="00D9116F" w:rsidRPr="000F0E93">
        <w:rPr>
          <w:rFonts w:ascii="Trebuchet MS" w:hAnsi="Trebuchet MS"/>
        </w:rPr>
        <w:t xml:space="preserve">o exploatație agricola este de 4,02 </w:t>
      </w:r>
      <w:r w:rsidRPr="000F0E93">
        <w:rPr>
          <w:rFonts w:ascii="Trebuchet MS" w:hAnsi="Trebuchet MS"/>
        </w:rPr>
        <w:t xml:space="preserve">hectare. Conform Recensământului General Agricol 2010 producția exploatațiilor agricole este împărțită în trei categorii: </w:t>
      </w:r>
      <w:r w:rsidR="00D9116F" w:rsidRPr="000F0E93">
        <w:rPr>
          <w:rFonts w:ascii="Trebuchet MS" w:hAnsi="Trebuchet MS"/>
        </w:rPr>
        <w:t>17,7</w:t>
      </w:r>
      <w:r w:rsidRPr="000F0E93">
        <w:rPr>
          <w:rFonts w:ascii="Trebuchet MS" w:hAnsi="Trebuchet MS"/>
        </w:rPr>
        <w:t xml:space="preserve">% dintre acestea se ocupă numai cu producția agricolă, </w:t>
      </w:r>
      <w:r w:rsidR="00D9116F" w:rsidRPr="000F0E93">
        <w:rPr>
          <w:rFonts w:ascii="Trebuchet MS" w:hAnsi="Trebuchet MS"/>
        </w:rPr>
        <w:t>7,8</w:t>
      </w:r>
      <w:r w:rsidRPr="000F0E93">
        <w:rPr>
          <w:rFonts w:ascii="Trebuchet MS" w:hAnsi="Trebuchet MS"/>
        </w:rPr>
        <w:t xml:space="preserve">% se ocupă numai cu producția zootehnică și </w:t>
      </w:r>
      <w:r w:rsidR="00D9116F" w:rsidRPr="000F0E93">
        <w:rPr>
          <w:rFonts w:ascii="Trebuchet MS" w:hAnsi="Trebuchet MS"/>
        </w:rPr>
        <w:t>74,5</w:t>
      </w:r>
      <w:r w:rsidRPr="000F0E93">
        <w:rPr>
          <w:rFonts w:ascii="Trebuchet MS" w:hAnsi="Trebuchet MS"/>
        </w:rPr>
        <w:t>% au o producție mixtă. Preponderența exploatațiilor cu producție mixtă indică o specializare redusă și faptul că o mare parte din acestea nu sunt integrate pe piață agricolă, utilizând o mare parte din producție pentru auto-consumul gospodăriilor.</w:t>
      </w:r>
    </w:p>
    <w:p w:rsidR="000C4FC6" w:rsidRPr="000F0E93" w:rsidRDefault="000C4FC6" w:rsidP="000F0E93">
      <w:pPr>
        <w:spacing w:after="0" w:line="276" w:lineRule="auto"/>
        <w:jc w:val="both"/>
        <w:rPr>
          <w:rFonts w:ascii="Trebuchet MS" w:hAnsi="Trebuchet MS"/>
        </w:rPr>
      </w:pPr>
      <w:r w:rsidRPr="000F0E93">
        <w:rPr>
          <w:rFonts w:ascii="Trebuchet MS" w:hAnsi="Trebuchet MS"/>
        </w:rPr>
        <w:tab/>
        <w:t>Producția agricolă locală este avantajată de clima și relieful teritoriului, dar și alte elemente naturale potrivite activității agricole și agroalimentare. Conform datelor MADR (anexele 8, 9 si 10</w:t>
      </w:r>
      <w:r w:rsidR="00BF6A9A" w:rsidRPr="000F0E93">
        <w:rPr>
          <w:rFonts w:ascii="Trebuchet MS" w:hAnsi="Trebuchet MS"/>
        </w:rPr>
        <w:t xml:space="preserve"> din cadrul Măsurii de finanțare 121 - Modernizarea exploatațiilor agricole, PNDR 2007-2013</w:t>
      </w:r>
      <w:r w:rsidRPr="000F0E93">
        <w:rPr>
          <w:rFonts w:ascii="Trebuchet MS" w:hAnsi="Trebuchet MS"/>
        </w:rPr>
        <w:t xml:space="preserve">) indică faptul că la </w:t>
      </w:r>
      <w:r w:rsidR="0094275B">
        <w:rPr>
          <w:rFonts w:ascii="Trebuchet MS" w:hAnsi="Trebuchet MS"/>
        </w:rPr>
        <w:t xml:space="preserve">nivelului teritoriului </w:t>
      </w:r>
      <w:r w:rsidR="00D9116F" w:rsidRPr="000F0E93">
        <w:rPr>
          <w:rFonts w:ascii="Trebuchet MS" w:hAnsi="Trebuchet MS"/>
        </w:rPr>
        <w:t>Segarcea</w:t>
      </w:r>
      <w:r w:rsidRPr="000F0E93">
        <w:rPr>
          <w:rFonts w:ascii="Trebuchet MS" w:hAnsi="Trebuchet MS"/>
        </w:rPr>
        <w:t xml:space="preserve"> există potențial ridicat în majoritatea localităților pentru</w:t>
      </w:r>
      <w:r w:rsidR="00BF6A9A" w:rsidRPr="000F0E93">
        <w:rPr>
          <w:rFonts w:ascii="Trebuchet MS" w:hAnsi="Trebuchet MS"/>
        </w:rPr>
        <w:t xml:space="preserve"> producția de</w:t>
      </w:r>
      <w:r w:rsidRPr="000F0E93">
        <w:rPr>
          <w:rFonts w:ascii="Trebuchet MS" w:hAnsi="Trebuchet MS"/>
        </w:rPr>
        <w:t xml:space="preserve"> porumb, mazăre, fasole, </w:t>
      </w:r>
      <w:r w:rsidR="00D533F0" w:rsidRPr="000F0E93">
        <w:rPr>
          <w:rFonts w:ascii="Trebuchet MS" w:hAnsi="Trebuchet MS"/>
        </w:rPr>
        <w:t xml:space="preserve">sfeclă zahăr, </w:t>
      </w:r>
      <w:r w:rsidRPr="000F0E93">
        <w:rPr>
          <w:rFonts w:ascii="Trebuchet MS" w:hAnsi="Trebuchet MS"/>
        </w:rPr>
        <w:t xml:space="preserve">rapiță, </w:t>
      </w:r>
      <w:r w:rsidR="00D533F0" w:rsidRPr="000F0E93">
        <w:rPr>
          <w:rFonts w:ascii="Trebuchet MS" w:hAnsi="Trebuchet MS"/>
        </w:rPr>
        <w:t xml:space="preserve">cânepă, </w:t>
      </w:r>
      <w:r w:rsidRPr="000F0E93">
        <w:rPr>
          <w:rFonts w:ascii="Trebuchet MS" w:hAnsi="Trebuchet MS"/>
        </w:rPr>
        <w:t xml:space="preserve">tutun și legumicultură dar și </w:t>
      </w:r>
      <w:r w:rsidR="00BF6A9A" w:rsidRPr="000F0E93">
        <w:rPr>
          <w:rFonts w:ascii="Trebuchet MS" w:hAnsi="Trebuchet MS"/>
        </w:rPr>
        <w:t xml:space="preserve">pentru </w:t>
      </w:r>
      <w:r w:rsidRPr="000F0E93">
        <w:rPr>
          <w:rFonts w:ascii="Trebuchet MS" w:hAnsi="Trebuchet MS"/>
        </w:rPr>
        <w:t xml:space="preserve">producția pomicolă (piersici, </w:t>
      </w:r>
      <w:r w:rsidR="00D533F0" w:rsidRPr="000F0E93">
        <w:rPr>
          <w:rFonts w:ascii="Trebuchet MS" w:hAnsi="Trebuchet MS"/>
        </w:rPr>
        <w:t xml:space="preserve">caiși, </w:t>
      </w:r>
      <w:r w:rsidRPr="000F0E93">
        <w:rPr>
          <w:rFonts w:ascii="Trebuchet MS" w:hAnsi="Trebuchet MS"/>
        </w:rPr>
        <w:t>gutui, nectarine, migdale) iar în unele localități sunt îndeplinite condițiile pentru producția viticolă (</w:t>
      </w:r>
      <w:r w:rsidR="00D533F0" w:rsidRPr="000F0E93">
        <w:rPr>
          <w:rFonts w:ascii="Trebuchet MS" w:hAnsi="Trebuchet MS"/>
        </w:rPr>
        <w:t>Cerat, Cioroiași</w:t>
      </w:r>
      <w:r w:rsidRPr="000F0E93">
        <w:rPr>
          <w:rFonts w:ascii="Trebuchet MS" w:hAnsi="Trebuchet MS"/>
        </w:rPr>
        <w:t xml:space="preserve"> și </w:t>
      </w:r>
      <w:r w:rsidR="00D533F0" w:rsidRPr="000F0E93">
        <w:rPr>
          <w:rFonts w:ascii="Trebuchet MS" w:hAnsi="Trebuchet MS"/>
        </w:rPr>
        <w:t>Siliștea Crucii</w:t>
      </w:r>
      <w:r w:rsidRPr="000F0E93">
        <w:rPr>
          <w:rFonts w:ascii="Trebuchet MS" w:hAnsi="Trebuchet MS"/>
        </w:rPr>
        <w:t xml:space="preserve">). În ceea ce privește sectorul zootehnic există potențial </w:t>
      </w:r>
      <w:r w:rsidR="0091310F" w:rsidRPr="000F0E93">
        <w:rPr>
          <w:rFonts w:ascii="Trebuchet MS" w:hAnsi="Trebuchet MS"/>
        </w:rPr>
        <w:t xml:space="preserve">mediu și </w:t>
      </w:r>
      <w:r w:rsidRPr="000F0E93">
        <w:rPr>
          <w:rFonts w:ascii="Trebuchet MS" w:hAnsi="Trebuchet MS"/>
        </w:rPr>
        <w:t>ridicat pentru producție</w:t>
      </w:r>
      <w:r w:rsidR="008008FE" w:rsidRPr="000F0E93">
        <w:rPr>
          <w:rFonts w:ascii="Trebuchet MS" w:hAnsi="Trebuchet MS"/>
        </w:rPr>
        <w:t xml:space="preserve"> principalilor specii (taurine, porcine, ovine sau păsări), </w:t>
      </w:r>
      <w:r w:rsidRPr="000F0E93">
        <w:rPr>
          <w:rFonts w:ascii="Trebuchet MS" w:hAnsi="Trebuchet MS"/>
        </w:rPr>
        <w:t xml:space="preserve">în </w:t>
      </w:r>
      <w:r w:rsidR="0091310F" w:rsidRPr="000F0E93">
        <w:rPr>
          <w:rFonts w:ascii="Trebuchet MS" w:hAnsi="Trebuchet MS"/>
        </w:rPr>
        <w:t>majoritatea localităților din teritoriul GAL (mai puțin Dobrești).</w:t>
      </w:r>
    </w:p>
    <w:p w:rsidR="000C4FC6" w:rsidRPr="000F0E93" w:rsidRDefault="000C4FC6" w:rsidP="000F0E93">
      <w:pPr>
        <w:spacing w:after="0" w:line="276" w:lineRule="auto"/>
        <w:ind w:firstLine="708"/>
        <w:jc w:val="both"/>
        <w:rPr>
          <w:rFonts w:ascii="Trebuchet MS" w:hAnsi="Trebuchet MS"/>
          <w:color w:val="00B0F0"/>
        </w:rPr>
      </w:pPr>
      <w:r w:rsidRPr="000F0E93">
        <w:rPr>
          <w:rFonts w:ascii="Trebuchet MS" w:hAnsi="Trebuchet MS"/>
        </w:rPr>
        <w:t>De asemenea, există la nivelul localităților din teritoriul GAL perspective ridicate de procesare a produselor vegetale și a celor animale. Conform datelor MADR, cu excepția câtorva excepții evidențiate în anexa statistică, capacitatea de prelucrare vegetală sau animală ca raport din capacitatea de producție es</w:t>
      </w:r>
      <w:r w:rsidR="00D458B6">
        <w:rPr>
          <w:rFonts w:ascii="Trebuchet MS" w:hAnsi="Trebuchet MS"/>
        </w:rPr>
        <w:t>te mai mare de 90% în cazul:</w:t>
      </w:r>
      <w:r w:rsidRPr="000F0E93">
        <w:rPr>
          <w:rFonts w:ascii="Trebuchet MS" w:hAnsi="Trebuchet MS"/>
        </w:rPr>
        <w:t xml:space="preserve"> laptelui</w:t>
      </w:r>
      <w:r w:rsidR="00D458B6">
        <w:rPr>
          <w:rFonts w:ascii="Trebuchet MS" w:hAnsi="Trebuchet MS"/>
        </w:rPr>
        <w:t xml:space="preserve"> colectat și industrializat;</w:t>
      </w:r>
      <w:r w:rsidRPr="000F0E93">
        <w:rPr>
          <w:rFonts w:ascii="Trebuchet MS" w:hAnsi="Trebuchet MS"/>
        </w:rPr>
        <w:t xml:space="preserve"> abatoriz</w:t>
      </w:r>
      <w:r w:rsidR="008A677A" w:rsidRPr="000F0E93">
        <w:rPr>
          <w:rFonts w:ascii="Trebuchet MS" w:hAnsi="Trebuchet MS"/>
        </w:rPr>
        <w:t>ării</w:t>
      </w:r>
      <w:r w:rsidRPr="000F0E93">
        <w:rPr>
          <w:rFonts w:ascii="Trebuchet MS" w:hAnsi="Trebuchet MS"/>
        </w:rPr>
        <w:t xml:space="preserve"> </w:t>
      </w:r>
      <w:r w:rsidR="00D458B6">
        <w:rPr>
          <w:rFonts w:ascii="Trebuchet MS" w:hAnsi="Trebuchet MS"/>
        </w:rPr>
        <w:t>ovinelor și caprinelor;</w:t>
      </w:r>
      <w:r w:rsidR="008A677A" w:rsidRPr="000F0E93">
        <w:rPr>
          <w:rFonts w:ascii="Trebuchet MS" w:hAnsi="Trebuchet MS"/>
        </w:rPr>
        <w:t xml:space="preserve"> prelucrării cărnii de bovine, porcine</w:t>
      </w:r>
      <w:r w:rsidR="00350740" w:rsidRPr="000F0E93">
        <w:rPr>
          <w:rFonts w:ascii="Trebuchet MS" w:hAnsi="Trebuchet MS"/>
        </w:rPr>
        <w:t>, ovinelor și caprinelor față de</w:t>
      </w:r>
      <w:r w:rsidR="00D458B6">
        <w:rPr>
          <w:rFonts w:ascii="Trebuchet MS" w:hAnsi="Trebuchet MS"/>
        </w:rPr>
        <w:t xml:space="preserve"> greutatea totală a acestora; </w:t>
      </w:r>
      <w:r w:rsidRPr="000F0E93">
        <w:rPr>
          <w:rFonts w:ascii="Trebuchet MS" w:hAnsi="Trebuchet MS"/>
        </w:rPr>
        <w:t>capacitatea de prelucrare a cerealelor și a oleaginoase</w:t>
      </w:r>
      <w:r w:rsidR="00595B22" w:rsidRPr="000F0E93">
        <w:rPr>
          <w:rFonts w:ascii="Trebuchet MS" w:hAnsi="Trebuchet MS"/>
        </w:rPr>
        <w:t xml:space="preserve"> (mai puțin în localitățile</w:t>
      </w:r>
      <w:r w:rsidR="008A677A" w:rsidRPr="000F0E93">
        <w:rPr>
          <w:rFonts w:ascii="Trebuchet MS" w:hAnsi="Trebuchet MS"/>
        </w:rPr>
        <w:t xml:space="preserve"> Podari</w:t>
      </w:r>
      <w:r w:rsidR="00595B22" w:rsidRPr="000F0E93">
        <w:rPr>
          <w:rFonts w:ascii="Trebuchet MS" w:hAnsi="Trebuchet MS"/>
        </w:rPr>
        <w:t xml:space="preserve"> și Țuglui</w:t>
      </w:r>
      <w:r w:rsidR="008A677A" w:rsidRPr="000F0E93">
        <w:rPr>
          <w:rFonts w:ascii="Trebuchet MS" w:hAnsi="Trebuchet MS"/>
        </w:rPr>
        <w:t>)</w:t>
      </w:r>
      <w:r w:rsidR="00D458B6">
        <w:rPr>
          <w:rFonts w:ascii="Trebuchet MS" w:hAnsi="Trebuchet MS"/>
        </w:rPr>
        <w:t>,</w:t>
      </w:r>
      <w:r w:rsidR="00350740" w:rsidRPr="000F0E93">
        <w:rPr>
          <w:rFonts w:ascii="Trebuchet MS" w:hAnsi="Trebuchet MS"/>
        </w:rPr>
        <w:t xml:space="preserve"> și a strugurilor în unele localități</w:t>
      </w:r>
      <w:r w:rsidR="008A677A" w:rsidRPr="000F0E93">
        <w:rPr>
          <w:rFonts w:ascii="Trebuchet MS" w:hAnsi="Trebuchet MS"/>
        </w:rPr>
        <w:t xml:space="preserve"> (Cerat, Dobrești, Segarcea și Lipovu)</w:t>
      </w:r>
      <w:r w:rsidRPr="000F0E93">
        <w:rPr>
          <w:rFonts w:ascii="Trebuchet MS" w:hAnsi="Trebuchet MS"/>
        </w:rPr>
        <w:t xml:space="preserve">. </w:t>
      </w:r>
      <w:r w:rsidR="00D458B6">
        <w:rPr>
          <w:rFonts w:ascii="Trebuchet MS" w:hAnsi="Trebuchet MS"/>
        </w:rPr>
        <w:t>Privitor la</w:t>
      </w:r>
      <w:r w:rsidRPr="000F0E93">
        <w:rPr>
          <w:rFonts w:ascii="Trebuchet MS" w:hAnsi="Trebuchet MS"/>
        </w:rPr>
        <w:t xml:space="preserve"> capacitatea de depozitare a cerealelor și oleaginoaselor</w:t>
      </w:r>
      <w:r w:rsidR="00595B22" w:rsidRPr="000F0E93">
        <w:rPr>
          <w:rFonts w:ascii="Trebuchet MS" w:hAnsi="Trebuchet MS"/>
        </w:rPr>
        <w:t>, abatorizarea bovinelor și porcinelor, capacitatea de prelucrare a legumelor</w:t>
      </w:r>
      <w:r w:rsidRPr="000F0E93">
        <w:rPr>
          <w:rFonts w:ascii="Trebuchet MS" w:hAnsi="Trebuchet MS"/>
        </w:rPr>
        <w:t xml:space="preserve"> </w:t>
      </w:r>
      <w:r w:rsidR="00595B22" w:rsidRPr="000F0E93">
        <w:rPr>
          <w:rFonts w:ascii="Trebuchet MS" w:hAnsi="Trebuchet MS"/>
        </w:rPr>
        <w:t xml:space="preserve">respectiv </w:t>
      </w:r>
      <w:r w:rsidRPr="000F0E93">
        <w:rPr>
          <w:rFonts w:ascii="Trebuchet MS" w:hAnsi="Trebuchet MS"/>
        </w:rPr>
        <w:t xml:space="preserve">capacitatea de producție a plantelor medicinale, există un potențial cuprins între 50% și 90% de prelucrare/depozitare din producția totală. </w:t>
      </w:r>
    </w:p>
    <w:p w:rsidR="00F92B8B" w:rsidRPr="000F0E93" w:rsidRDefault="000C4FC6" w:rsidP="00AE46B8">
      <w:pPr>
        <w:spacing w:after="0" w:line="276" w:lineRule="auto"/>
        <w:ind w:firstLine="708"/>
        <w:jc w:val="both"/>
        <w:rPr>
          <w:rFonts w:ascii="Trebuchet MS" w:hAnsi="Trebuchet MS"/>
        </w:rPr>
      </w:pPr>
      <w:r w:rsidRPr="000F0E93">
        <w:rPr>
          <w:rFonts w:ascii="Trebuchet MS" w:hAnsi="Trebuchet MS"/>
        </w:rPr>
        <w:t>Făcând abstracție de factorii naturali, productivitatea exploatațiilor agric</w:t>
      </w:r>
      <w:r w:rsidR="002F2394">
        <w:rPr>
          <w:rFonts w:ascii="Trebuchet MS" w:hAnsi="Trebuchet MS"/>
        </w:rPr>
        <w:t>ole din teritoriul</w:t>
      </w:r>
      <w:r w:rsidRPr="000F0E93">
        <w:rPr>
          <w:rFonts w:ascii="Trebuchet MS" w:hAnsi="Trebuchet MS"/>
        </w:rPr>
        <w:t xml:space="preserve"> GAL depinde de doi factori determinanți: </w:t>
      </w:r>
      <w:r w:rsidRPr="00D458B6">
        <w:rPr>
          <w:rFonts w:ascii="Trebuchet MS" w:hAnsi="Trebuchet MS"/>
        </w:rPr>
        <w:t>gradul de instruire a șefului de exploatație și nivelul de mecanizare de care fermele disp</w:t>
      </w:r>
      <w:r w:rsidRPr="000F0E93">
        <w:rPr>
          <w:rFonts w:ascii="Trebuchet MS" w:hAnsi="Trebuchet MS"/>
        </w:rPr>
        <w:t xml:space="preserve">un. În ceea ce privește primul aspect, nivelul de instruire al șefilor exploatațiilor agricole cu și fără personalitate juridică </w:t>
      </w:r>
      <w:r w:rsidRPr="000F0E93">
        <w:rPr>
          <w:rFonts w:ascii="Trebuchet MS" w:hAnsi="Trebuchet MS"/>
        </w:rPr>
        <w:lastRenderedPageBreak/>
        <w:t xml:space="preserve">se bazează în proporție covârșitoare numai pe experiența practică agricolă (media la nivelul comunelor </w:t>
      </w:r>
      <w:r w:rsidR="00630C0C" w:rsidRPr="000F0E93">
        <w:rPr>
          <w:rFonts w:ascii="Trebuchet MS" w:hAnsi="Trebuchet MS"/>
        </w:rPr>
        <w:t>din teritoriul GAL este de 97,38</w:t>
      </w:r>
      <w:r w:rsidRPr="000F0E93">
        <w:rPr>
          <w:rFonts w:ascii="Trebuchet MS" w:hAnsi="Trebuchet MS"/>
        </w:rPr>
        <w:t xml:space="preserve">%), urmat de o mică pondere a șefilor de exploatație ce au o </w:t>
      </w:r>
      <w:r w:rsidR="00350740" w:rsidRPr="000F0E93">
        <w:rPr>
          <w:rFonts w:ascii="Trebuchet MS" w:hAnsi="Trebuchet MS"/>
        </w:rPr>
        <w:t>pregăti</w:t>
      </w:r>
      <w:r w:rsidR="00630C0C" w:rsidRPr="000F0E93">
        <w:rPr>
          <w:rFonts w:ascii="Trebuchet MS" w:hAnsi="Trebuchet MS"/>
        </w:rPr>
        <w:t>re agricolă de bază (2,21</w:t>
      </w:r>
      <w:r w:rsidRPr="000F0E93">
        <w:rPr>
          <w:rFonts w:ascii="Trebuchet MS" w:hAnsi="Trebuchet MS"/>
        </w:rPr>
        <w:t>%) și cei cu p</w:t>
      </w:r>
      <w:r w:rsidR="00630C0C" w:rsidRPr="000F0E93">
        <w:rPr>
          <w:rFonts w:ascii="Trebuchet MS" w:hAnsi="Trebuchet MS"/>
        </w:rPr>
        <w:t>regătire agricolă completă (0,41</w:t>
      </w:r>
      <w:r w:rsidRPr="000F0E93">
        <w:rPr>
          <w:rFonts w:ascii="Trebuchet MS" w:hAnsi="Trebuchet MS"/>
        </w:rPr>
        <w:t xml:space="preserve">%). În ceea ce privește gradul de mecanizare, media exploatațiilor agricole care au utilizat mașini și echipamente agricole în proprietate, la nivelul celor </w:t>
      </w:r>
      <w:r w:rsidR="00630C0C" w:rsidRPr="000F0E93">
        <w:rPr>
          <w:rFonts w:ascii="Trebuchet MS" w:hAnsi="Trebuchet MS"/>
        </w:rPr>
        <w:t>12</w:t>
      </w:r>
      <w:r w:rsidRPr="000F0E93">
        <w:rPr>
          <w:rFonts w:ascii="Trebuchet MS" w:hAnsi="Trebuchet MS"/>
        </w:rPr>
        <w:t xml:space="preserve"> localități este de numai </w:t>
      </w:r>
      <w:r w:rsidR="00350740" w:rsidRPr="000F0E93">
        <w:rPr>
          <w:rFonts w:ascii="Trebuchet MS" w:hAnsi="Trebuchet MS"/>
        </w:rPr>
        <w:t>1</w:t>
      </w:r>
      <w:r w:rsidR="00630C0C" w:rsidRPr="000F0E93">
        <w:rPr>
          <w:rFonts w:ascii="Trebuchet MS" w:hAnsi="Trebuchet MS"/>
        </w:rPr>
        <w:t>1,61</w:t>
      </w:r>
      <w:r w:rsidRPr="000F0E93">
        <w:rPr>
          <w:rFonts w:ascii="Trebuchet MS" w:hAnsi="Trebuchet MS"/>
        </w:rPr>
        <w:t>%, ceea ce arată un nivel foarte scăzut al înzestrării tehnice și tehnologice a fermelor locale, fapt ce generează o eficiență a producției slabă.</w:t>
      </w:r>
      <w:r w:rsidR="00F92B8B" w:rsidRPr="000F0E93">
        <w:rPr>
          <w:rFonts w:ascii="Trebuchet MS" w:hAnsi="Trebuchet MS"/>
        </w:rPr>
        <w:t xml:space="preserve"> De asemenea, nivelul de fragmentare al exploatațiilor agricole este unul foarte ridicat, ceea ce face afectează rentabilitatea acestora prin prisma mai multor canale: posibilitățile reduse de implicare pe piață la nivel individual, </w:t>
      </w:r>
      <w:r w:rsidR="001B5590" w:rsidRPr="000F0E93">
        <w:rPr>
          <w:rFonts w:ascii="Trebuchet MS" w:hAnsi="Trebuchet MS"/>
        </w:rPr>
        <w:t>costuri totale medii mai mari în comparație cu fermele dezvoltate, capacitate redusă de a beneficia de economii de scală, resurse financiare insuficiente pentru contractarea unor credite pentru investiții în m</w:t>
      </w:r>
      <w:r w:rsidR="00042F26" w:rsidRPr="000F0E93">
        <w:rPr>
          <w:rFonts w:ascii="Trebuchet MS" w:hAnsi="Trebuchet MS"/>
        </w:rPr>
        <w:t>așini sau utilaje agricole etc.</w:t>
      </w:r>
    </w:p>
    <w:p w:rsidR="00F92B8B" w:rsidRPr="000F0E93" w:rsidRDefault="00F92B8B" w:rsidP="000F0E93">
      <w:pPr>
        <w:spacing w:after="0" w:line="276" w:lineRule="auto"/>
        <w:jc w:val="both"/>
        <w:rPr>
          <w:rFonts w:ascii="Trebuchet MS" w:hAnsi="Trebuchet MS"/>
          <w:i/>
        </w:rPr>
      </w:pPr>
      <w:r w:rsidRPr="000F0E93">
        <w:rPr>
          <w:rFonts w:ascii="Trebuchet MS" w:hAnsi="Trebuchet MS"/>
          <w:i/>
        </w:rPr>
        <w:t>Figura 3. Exploatații agricole (număr), pe clase de mărime a suprafeței totale (hectare)</w:t>
      </w:r>
    </w:p>
    <w:p w:rsidR="00F92B8B" w:rsidRPr="000F0E93" w:rsidRDefault="00FD79F2" w:rsidP="000F0E93">
      <w:pPr>
        <w:spacing w:after="0" w:line="276" w:lineRule="auto"/>
        <w:jc w:val="both"/>
        <w:rPr>
          <w:rFonts w:ascii="Trebuchet MS" w:hAnsi="Trebuchet MS"/>
          <w:i/>
        </w:rPr>
      </w:pPr>
      <w:r w:rsidRPr="000F0E93">
        <w:rPr>
          <w:rFonts w:ascii="Trebuchet MS" w:hAnsi="Trebuchet MS"/>
          <w:noProof/>
          <w:lang w:val="en-US"/>
        </w:rPr>
        <w:drawing>
          <wp:inline distT="0" distB="0" distL="0" distR="0">
            <wp:extent cx="5727700" cy="1477671"/>
            <wp:effectExtent l="0" t="0" r="6350" b="82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92B8B" w:rsidRPr="00AE46B8" w:rsidRDefault="00F92B8B" w:rsidP="00AE46B8">
      <w:pPr>
        <w:spacing w:after="0" w:line="276" w:lineRule="auto"/>
        <w:jc w:val="center"/>
        <w:rPr>
          <w:rFonts w:ascii="Trebuchet MS" w:hAnsi="Trebuchet MS"/>
          <w:u w:val="single"/>
        </w:rPr>
      </w:pPr>
      <w:r w:rsidRPr="00AE46B8">
        <w:rPr>
          <w:rFonts w:ascii="Trebuchet MS" w:hAnsi="Trebuchet MS"/>
          <w:u w:val="single"/>
        </w:rPr>
        <w:t>Sursă: Recensământul General Agricol 2010; link:</w:t>
      </w:r>
    </w:p>
    <w:p w:rsidR="008610B6" w:rsidRPr="00AE46B8" w:rsidRDefault="000E61FB" w:rsidP="00AE46B8">
      <w:pPr>
        <w:spacing w:after="0" w:line="276" w:lineRule="auto"/>
        <w:jc w:val="center"/>
        <w:rPr>
          <w:rFonts w:ascii="Trebuchet MS" w:hAnsi="Trebuchet MS"/>
        </w:rPr>
      </w:pPr>
      <w:hyperlink r:id="rId13" w:history="1">
        <w:r w:rsidR="008610B6" w:rsidRPr="00AE46B8">
          <w:rPr>
            <w:rStyle w:val="Hyperlink"/>
            <w:rFonts w:ascii="Trebuchet MS" w:hAnsi="Trebuchet MS"/>
            <w:color w:val="auto"/>
          </w:rPr>
          <w:t>http://www.rga2010.djsct.ro/inceput.php?cod=7&amp;codj=16</w:t>
        </w:r>
      </w:hyperlink>
    </w:p>
    <w:p w:rsidR="00FD79F2" w:rsidRPr="000F0E93" w:rsidRDefault="00FD79F2" w:rsidP="000F0E93">
      <w:pPr>
        <w:spacing w:after="0" w:line="276" w:lineRule="auto"/>
        <w:ind w:firstLine="708"/>
        <w:jc w:val="both"/>
        <w:rPr>
          <w:rFonts w:ascii="Trebuchet MS" w:eastAsia="Times New Roman" w:hAnsi="Trebuchet MS"/>
        </w:rPr>
      </w:pPr>
      <w:r w:rsidRPr="000F0E93">
        <w:rPr>
          <w:rFonts w:ascii="Trebuchet MS" w:hAnsi="Trebuchet MS"/>
        </w:rPr>
        <w:t xml:space="preserve">Există anumite limite ale agriculturii și în ceea ce privește constrângerile naturale. În </w:t>
      </w:r>
      <w:r w:rsidR="00580216" w:rsidRPr="000F0E93">
        <w:rPr>
          <w:rFonts w:ascii="Trebuchet MS" w:hAnsi="Trebuchet MS"/>
        </w:rPr>
        <w:t>9 din cele 12</w:t>
      </w:r>
      <w:r w:rsidRPr="000F0E93">
        <w:rPr>
          <w:rFonts w:ascii="Trebuchet MS" w:hAnsi="Trebuchet MS"/>
        </w:rPr>
        <w:t xml:space="preserve"> localități </w:t>
      </w:r>
      <w:r w:rsidR="00580216" w:rsidRPr="000F0E93">
        <w:rPr>
          <w:rFonts w:ascii="Trebuchet MS" w:hAnsi="Trebuchet MS"/>
        </w:rPr>
        <w:t>(Calopăr, Podar</w:t>
      </w:r>
      <w:r w:rsidRPr="000F0E93">
        <w:rPr>
          <w:rFonts w:ascii="Trebuchet MS" w:hAnsi="Trebuchet MS"/>
        </w:rPr>
        <w:t xml:space="preserve"> și </w:t>
      </w:r>
      <w:r w:rsidR="00580216" w:rsidRPr="000F0E93">
        <w:rPr>
          <w:rFonts w:ascii="Trebuchet MS" w:hAnsi="Trebuchet MS"/>
        </w:rPr>
        <w:t xml:space="preserve">Țuglui sunt cele trei </w:t>
      </w:r>
      <w:r w:rsidRPr="000F0E93">
        <w:rPr>
          <w:rFonts w:ascii="Trebuchet MS" w:hAnsi="Trebuchet MS"/>
        </w:rPr>
        <w:t xml:space="preserve">excepții) sunt prezente porțiuni reduse ale terenurilor agricole ce prezintă anumite diferite deficiențe ce afectează productivitatea agricolă: </w:t>
      </w:r>
      <w:r w:rsidRPr="000F0E93">
        <w:rPr>
          <w:rFonts w:ascii="Trebuchet MS" w:eastAsia="Times New Roman" w:hAnsi="Trebuchet MS"/>
        </w:rPr>
        <w:t>terenuri cu deficit de apă, terenuri agricole cu drenaj slab, etc.</w:t>
      </w:r>
    </w:p>
    <w:p w:rsidR="00376B3B" w:rsidRPr="000F0E93" w:rsidRDefault="00C0556B" w:rsidP="000F0E93">
      <w:pPr>
        <w:spacing w:after="0" w:line="276" w:lineRule="auto"/>
        <w:ind w:firstLine="708"/>
        <w:jc w:val="both"/>
        <w:rPr>
          <w:rFonts w:ascii="Trebuchet MS" w:hAnsi="Trebuchet MS" w:cs="Arial"/>
        </w:rPr>
      </w:pPr>
      <w:r w:rsidRPr="000F0E93">
        <w:rPr>
          <w:rFonts w:ascii="Trebuchet MS" w:hAnsi="Trebuchet MS" w:cs="Arial"/>
        </w:rPr>
        <w:t>Din punct de vedere geografic, teritoriul es</w:t>
      </w:r>
      <w:r w:rsidR="008610B6" w:rsidRPr="000F0E93">
        <w:rPr>
          <w:rFonts w:ascii="Trebuchet MS" w:hAnsi="Trebuchet MS" w:cs="Arial"/>
        </w:rPr>
        <w:t>te amplasat la zona de contact î</w:t>
      </w:r>
      <w:r w:rsidRPr="000F0E93">
        <w:rPr>
          <w:rFonts w:ascii="Trebuchet MS" w:hAnsi="Trebuchet MS" w:cs="Arial"/>
        </w:rPr>
        <w:t xml:space="preserve">ntre </w:t>
      </w:r>
      <w:r w:rsidR="008610B6" w:rsidRPr="000F0E93">
        <w:rPr>
          <w:rFonts w:ascii="Trebuchet MS" w:hAnsi="Trebuchet MS" w:cs="Arial"/>
        </w:rPr>
        <w:t>Câmpia</w:t>
      </w:r>
      <w:r w:rsidRPr="000F0E93">
        <w:rPr>
          <w:rFonts w:ascii="Trebuchet MS" w:hAnsi="Trebuchet MS" w:cs="Arial"/>
        </w:rPr>
        <w:t xml:space="preserve"> </w:t>
      </w:r>
      <w:r w:rsidR="008610B6" w:rsidRPr="000F0E93">
        <w:rPr>
          <w:rFonts w:ascii="Trebuchet MS" w:hAnsi="Trebuchet MS" w:cs="Arial"/>
        </w:rPr>
        <w:t>Dunării în sud ș</w:t>
      </w:r>
      <w:r w:rsidRPr="000F0E93">
        <w:rPr>
          <w:rFonts w:ascii="Trebuchet MS" w:hAnsi="Trebuchet MS" w:cs="Arial"/>
        </w:rPr>
        <w:t xml:space="preserve">i </w:t>
      </w:r>
      <w:r w:rsidR="008610B6" w:rsidRPr="000F0E93">
        <w:rPr>
          <w:rFonts w:ascii="Trebuchet MS" w:hAnsi="Trebuchet MS" w:cs="Arial"/>
        </w:rPr>
        <w:t>Câmpia Colinară</w:t>
      </w:r>
      <w:r w:rsidRPr="000F0E93">
        <w:rPr>
          <w:rFonts w:ascii="Trebuchet MS" w:hAnsi="Trebuchet MS" w:cs="Arial"/>
        </w:rPr>
        <w:t xml:space="preserve"> a </w:t>
      </w:r>
      <w:r w:rsidR="008610B6" w:rsidRPr="000F0E93">
        <w:rPr>
          <w:rFonts w:ascii="Trebuchet MS" w:hAnsi="Trebuchet MS" w:cs="Arial"/>
        </w:rPr>
        <w:t>Podișului Getic î</w:t>
      </w:r>
      <w:r w:rsidRPr="000F0E93">
        <w:rPr>
          <w:rFonts w:ascii="Trebuchet MS" w:hAnsi="Trebuchet MS" w:cs="Arial"/>
        </w:rPr>
        <w:t>n nord.</w:t>
      </w:r>
      <w:r w:rsidR="008610B6" w:rsidRPr="000F0E93">
        <w:rPr>
          <w:rFonts w:ascii="Trebuchet MS" w:hAnsi="Trebuchet MS" w:cs="Arial"/>
        </w:rPr>
        <w:t xml:space="preserve"> </w:t>
      </w:r>
      <w:r w:rsidRPr="000F0E93">
        <w:rPr>
          <w:rFonts w:ascii="Trebuchet MS" w:hAnsi="Trebuchet MS" w:cs="Arial"/>
        </w:rPr>
        <w:t>Din punct de vedere climatic, teritoriul GAL Segarcea se încadrează într-o zonă de climat temperat-continental cu patru anotimp</w:t>
      </w:r>
      <w:r w:rsidR="008610B6" w:rsidRPr="000F0E93">
        <w:rPr>
          <w:rFonts w:ascii="Trebuchet MS" w:hAnsi="Trebuchet MS" w:cs="Arial"/>
        </w:rPr>
        <w:t>uri, cu veri foarte călduroase ș</w:t>
      </w:r>
      <w:r w:rsidRPr="000F0E93">
        <w:rPr>
          <w:rFonts w:ascii="Trebuchet MS" w:hAnsi="Trebuchet MS" w:cs="Arial"/>
        </w:rPr>
        <w:t>i secetoase (tempe</w:t>
      </w:r>
      <w:r w:rsidR="008610B6" w:rsidRPr="000F0E93">
        <w:rPr>
          <w:rFonts w:ascii="Trebuchet MS" w:hAnsi="Trebuchet MS" w:cs="Arial"/>
        </w:rPr>
        <w:t>ratura maximă de 40 de grade) și</w:t>
      </w:r>
      <w:r w:rsidRPr="000F0E93">
        <w:rPr>
          <w:rFonts w:ascii="Trebuchet MS" w:hAnsi="Trebuchet MS" w:cs="Arial"/>
        </w:rPr>
        <w:t xml:space="preserve"> ierni friguroase, bogate în </w:t>
      </w:r>
      <w:r w:rsidR="008610B6" w:rsidRPr="000F0E93">
        <w:rPr>
          <w:rFonts w:ascii="Trebuchet MS" w:hAnsi="Trebuchet MS" w:cs="Arial"/>
        </w:rPr>
        <w:t>precipitații</w:t>
      </w:r>
      <w:r w:rsidRPr="000F0E93">
        <w:rPr>
          <w:rFonts w:ascii="Trebuchet MS" w:hAnsi="Trebuchet MS" w:cs="Arial"/>
        </w:rPr>
        <w:t>. Solurile specifice teritoriului sunt cele brun-</w:t>
      </w:r>
      <w:r w:rsidR="008610B6" w:rsidRPr="000F0E93">
        <w:rPr>
          <w:rFonts w:ascii="Trebuchet MS" w:hAnsi="Trebuchet MS" w:cs="Arial"/>
        </w:rPr>
        <w:t>roșcate</w:t>
      </w:r>
      <w:r w:rsidRPr="000F0E93">
        <w:rPr>
          <w:rFonts w:ascii="Trebuchet MS" w:hAnsi="Trebuchet MS" w:cs="Arial"/>
        </w:rPr>
        <w:t xml:space="preserve"> cu predominarea solurilor bun-argiloase, soluri de câmpie</w:t>
      </w:r>
      <w:r w:rsidR="008610B6" w:rsidRPr="000F0E93">
        <w:rPr>
          <w:rFonts w:ascii="Trebuchet MS" w:hAnsi="Trebuchet MS" w:cs="Arial"/>
        </w:rPr>
        <w:t xml:space="preserve"> </w:t>
      </w:r>
      <w:r w:rsidRPr="000F0E93">
        <w:rPr>
          <w:rFonts w:ascii="Trebuchet MS" w:hAnsi="Trebuchet MS" w:cs="Arial"/>
        </w:rPr>
        <w:t xml:space="preserve">(cernoziomice) </w:t>
      </w:r>
      <w:r w:rsidR="008610B6" w:rsidRPr="000F0E93">
        <w:rPr>
          <w:rFonts w:ascii="Trebuchet MS" w:hAnsi="Trebuchet MS" w:cs="Arial"/>
        </w:rPr>
        <w:t>și</w:t>
      </w:r>
      <w:r w:rsidRPr="000F0E93">
        <w:rPr>
          <w:rFonts w:ascii="Trebuchet MS" w:hAnsi="Trebuchet MS" w:cs="Arial"/>
        </w:rPr>
        <w:t xml:space="preserve"> solurile aluvionare din zona de luncă a Jiului, favorabile dezvoltării în special a culturilor mari agricole.</w:t>
      </w:r>
      <w:r w:rsidR="008610B6" w:rsidRPr="000F0E93">
        <w:rPr>
          <w:rFonts w:ascii="Trebuchet MS" w:hAnsi="Trebuchet MS" w:cs="Arial"/>
        </w:rPr>
        <w:t xml:space="preserve"> </w:t>
      </w:r>
      <w:r w:rsidRPr="000F0E93">
        <w:rPr>
          <w:rFonts w:ascii="Trebuchet MS" w:hAnsi="Trebuchet MS" w:cs="Arial"/>
        </w:rPr>
        <w:t xml:space="preserve">Din punct de vedere geologic, aici se întâlnesc depozite mai vechi formate din marnă, nisipuri </w:t>
      </w:r>
      <w:r w:rsidR="008610B6" w:rsidRPr="000F0E93">
        <w:rPr>
          <w:rFonts w:ascii="Trebuchet MS" w:hAnsi="Trebuchet MS" w:cs="Arial"/>
        </w:rPr>
        <w:t>și</w:t>
      </w:r>
      <w:r w:rsidRPr="000F0E93">
        <w:rPr>
          <w:rFonts w:ascii="Trebuchet MS" w:hAnsi="Trebuchet MS" w:cs="Arial"/>
        </w:rPr>
        <w:t xml:space="preserve"> argile, acoperite de depozite noi (nisipuri </w:t>
      </w:r>
      <w:r w:rsidR="008610B6" w:rsidRPr="000F0E93">
        <w:rPr>
          <w:rFonts w:ascii="Trebuchet MS" w:hAnsi="Trebuchet MS" w:cs="Arial"/>
        </w:rPr>
        <w:t>și</w:t>
      </w:r>
      <w:r w:rsidRPr="000F0E93">
        <w:rPr>
          <w:rFonts w:ascii="Trebuchet MS" w:hAnsi="Trebuchet MS" w:cs="Arial"/>
        </w:rPr>
        <w:t xml:space="preserve"> </w:t>
      </w:r>
      <w:r w:rsidR="008610B6" w:rsidRPr="000F0E93">
        <w:rPr>
          <w:rFonts w:ascii="Trebuchet MS" w:hAnsi="Trebuchet MS" w:cs="Arial"/>
        </w:rPr>
        <w:t>pietrișuri</w:t>
      </w:r>
      <w:r w:rsidRPr="000F0E93">
        <w:rPr>
          <w:rFonts w:ascii="Trebuchet MS" w:hAnsi="Trebuchet MS" w:cs="Arial"/>
        </w:rPr>
        <w:t>)</w:t>
      </w:r>
      <w:r w:rsidR="0061457B" w:rsidRPr="000F0E93">
        <w:rPr>
          <w:rFonts w:ascii="Trebuchet MS" w:hAnsi="Trebuchet MS" w:cs="Arial"/>
        </w:rPr>
        <w:t>.</w:t>
      </w:r>
    </w:p>
    <w:p w:rsidR="007126DD" w:rsidRPr="000F0E93" w:rsidRDefault="000C4FC6" w:rsidP="000F0E93">
      <w:pPr>
        <w:spacing w:after="0" w:line="276" w:lineRule="auto"/>
        <w:ind w:firstLine="708"/>
        <w:jc w:val="both"/>
        <w:rPr>
          <w:rFonts w:ascii="Trebuchet MS" w:eastAsia="Times New Roman" w:hAnsi="Trebuchet MS"/>
        </w:rPr>
      </w:pPr>
      <w:r w:rsidRPr="000F0E93">
        <w:rPr>
          <w:rFonts w:ascii="Trebuchet MS" w:eastAsia="Times New Roman" w:hAnsi="Trebuchet MS"/>
        </w:rPr>
        <w:t>Din punct de vedere ecologic, exis</w:t>
      </w:r>
      <w:r w:rsidR="00D458B6">
        <w:rPr>
          <w:rFonts w:ascii="Trebuchet MS" w:eastAsia="Times New Roman" w:hAnsi="Trebuchet MS"/>
        </w:rPr>
        <w:t xml:space="preserve">tă în cadrul </w:t>
      </w:r>
      <w:r w:rsidR="0011211B" w:rsidRPr="000F0E93">
        <w:rPr>
          <w:rFonts w:ascii="Trebuchet MS" w:eastAsia="Times New Roman" w:hAnsi="Trebuchet MS"/>
        </w:rPr>
        <w:t xml:space="preserve">GAL </w:t>
      </w:r>
      <w:r w:rsidR="009B0E91" w:rsidRPr="000F0E93">
        <w:rPr>
          <w:rFonts w:ascii="Trebuchet MS" w:eastAsia="Times New Roman" w:hAnsi="Trebuchet MS"/>
        </w:rPr>
        <w:t>Segarcea</w:t>
      </w:r>
      <w:r w:rsidRPr="000F0E93">
        <w:rPr>
          <w:rFonts w:ascii="Trebuchet MS" w:eastAsia="Times New Roman" w:hAnsi="Trebuchet MS"/>
        </w:rPr>
        <w:t xml:space="preserve"> </w:t>
      </w:r>
      <w:r w:rsidR="001523AE" w:rsidRPr="000F0E93">
        <w:rPr>
          <w:rFonts w:ascii="Trebuchet MS" w:eastAsia="Times New Roman" w:hAnsi="Trebuchet MS"/>
        </w:rPr>
        <w:t>două</w:t>
      </w:r>
      <w:r w:rsidRPr="000F0E93">
        <w:rPr>
          <w:rFonts w:ascii="Trebuchet MS" w:eastAsia="Times New Roman" w:hAnsi="Trebuchet MS"/>
        </w:rPr>
        <w:t xml:space="preserve"> situri de importanță comunitară Natura 2000</w:t>
      </w:r>
      <w:r w:rsidR="001523AE" w:rsidRPr="000F0E93">
        <w:rPr>
          <w:rFonts w:ascii="Trebuchet MS" w:eastAsia="Times New Roman" w:hAnsi="Trebuchet MS"/>
        </w:rPr>
        <w:t>, ce pot favoriza dezvoltarea serviciilor turistice. Primul sit este „</w:t>
      </w:r>
      <w:r w:rsidR="001523AE" w:rsidRPr="000F0E93">
        <w:rPr>
          <w:rFonts w:ascii="Trebuchet MS" w:eastAsia="Times New Roman" w:hAnsi="Trebuchet MS"/>
          <w:i/>
        </w:rPr>
        <w:t>Silvostepa Olteniei</w:t>
      </w:r>
      <w:r w:rsidR="001523AE" w:rsidRPr="000F0E93">
        <w:rPr>
          <w:rFonts w:ascii="Trebuchet MS" w:eastAsia="Times New Roman" w:hAnsi="Trebuchet MS"/>
        </w:rPr>
        <w:t>” (cod de identificare: ROSCI0202) aflat pe raza localităților Cioroiași (sub un hectar), Întorsura (sub un hectar) și Radovan (11,53 km</w:t>
      </w:r>
      <w:r w:rsidR="001523AE" w:rsidRPr="000F0E93">
        <w:rPr>
          <w:rFonts w:ascii="Trebuchet MS" w:eastAsia="Times New Roman" w:hAnsi="Trebuchet MS"/>
          <w:vertAlign w:val="superscript"/>
        </w:rPr>
        <w:t>2</w:t>
      </w:r>
      <w:r w:rsidR="001523AE" w:rsidRPr="000F0E93">
        <w:rPr>
          <w:rFonts w:ascii="Trebuchet MS" w:eastAsia="Times New Roman" w:hAnsi="Trebuchet MS"/>
        </w:rPr>
        <w:t xml:space="preserve"> din localitate acoperit de sit</w:t>
      </w:r>
      <w:r w:rsidR="001523AE" w:rsidRPr="000F0E93">
        <w:rPr>
          <w:rFonts w:ascii="Trebuchet MS" w:eastAsia="Times New Roman" w:hAnsi="Trebuchet MS"/>
          <w:vertAlign w:val="superscript"/>
        </w:rPr>
        <w:t xml:space="preserve"> </w:t>
      </w:r>
      <w:r w:rsidR="001523AE" w:rsidRPr="000F0E93">
        <w:rPr>
          <w:rFonts w:ascii="Trebuchet MS" w:eastAsia="Times New Roman" w:hAnsi="Trebuchet MS"/>
        </w:rPr>
        <w:t>).</w:t>
      </w:r>
      <w:r w:rsidRPr="000F0E93">
        <w:rPr>
          <w:rFonts w:ascii="Trebuchet MS" w:eastAsia="Times New Roman" w:hAnsi="Trebuchet MS"/>
        </w:rPr>
        <w:t xml:space="preserve"> </w:t>
      </w:r>
      <w:r w:rsidR="001523AE" w:rsidRPr="000F0E93">
        <w:rPr>
          <w:rFonts w:ascii="Trebuchet MS" w:eastAsia="Times New Roman" w:hAnsi="Trebuchet MS"/>
        </w:rPr>
        <w:t>Al doilea sit e reprezentat de „</w:t>
      </w:r>
      <w:r w:rsidR="001523AE" w:rsidRPr="000F0E93">
        <w:rPr>
          <w:rFonts w:ascii="Trebuchet MS" w:eastAsia="Times New Roman" w:hAnsi="Trebuchet MS"/>
          <w:i/>
        </w:rPr>
        <w:t>Coridorul Jiului</w:t>
      </w:r>
      <w:r w:rsidR="001523AE" w:rsidRPr="000F0E93">
        <w:rPr>
          <w:rFonts w:ascii="Trebuchet MS" w:eastAsia="Times New Roman" w:hAnsi="Trebuchet MS"/>
        </w:rPr>
        <w:t>”</w:t>
      </w:r>
      <w:r w:rsidRPr="000F0E93">
        <w:rPr>
          <w:rFonts w:ascii="Trebuchet MS" w:eastAsia="Times New Roman" w:hAnsi="Trebuchet MS"/>
        </w:rPr>
        <w:t xml:space="preserve"> (cod identificare:</w:t>
      </w:r>
      <w:r w:rsidR="001523AE" w:rsidRPr="000F0E93">
        <w:rPr>
          <w:rFonts w:ascii="Trebuchet MS" w:hAnsi="Trebuchet MS"/>
        </w:rPr>
        <w:t xml:space="preserve"> </w:t>
      </w:r>
      <w:r w:rsidR="001523AE" w:rsidRPr="000F0E93">
        <w:rPr>
          <w:rFonts w:ascii="Trebuchet MS" w:eastAsia="Times New Roman" w:hAnsi="Trebuchet MS"/>
        </w:rPr>
        <w:t>ROSCI0202</w:t>
      </w:r>
      <w:r w:rsidRPr="000F0E93">
        <w:rPr>
          <w:rFonts w:ascii="Trebuchet MS" w:eastAsia="Times New Roman" w:hAnsi="Trebuchet MS"/>
        </w:rPr>
        <w:t xml:space="preserve">) ce se întinde pe teritoriul administrativ al localităților </w:t>
      </w:r>
      <w:r w:rsidR="001523AE" w:rsidRPr="000F0E93">
        <w:rPr>
          <w:rFonts w:ascii="Trebuchet MS" w:eastAsia="Times New Roman" w:hAnsi="Trebuchet MS"/>
        </w:rPr>
        <w:t>Calopăr (19,79</w:t>
      </w:r>
      <w:r w:rsidRPr="000F0E93">
        <w:rPr>
          <w:rFonts w:ascii="Trebuchet MS" w:eastAsia="Times New Roman" w:hAnsi="Trebuchet MS"/>
        </w:rPr>
        <w:t xml:space="preserve"> km</w:t>
      </w:r>
      <w:r w:rsidRPr="000F0E93">
        <w:rPr>
          <w:rFonts w:ascii="Trebuchet MS" w:eastAsia="Times New Roman" w:hAnsi="Trebuchet MS"/>
          <w:vertAlign w:val="superscript"/>
        </w:rPr>
        <w:t>2</w:t>
      </w:r>
      <w:r w:rsidRPr="000F0E93">
        <w:rPr>
          <w:rFonts w:ascii="Trebuchet MS" w:eastAsia="Times New Roman" w:hAnsi="Trebuchet MS"/>
        </w:rPr>
        <w:t xml:space="preserve">), </w:t>
      </w:r>
      <w:r w:rsidR="001523AE" w:rsidRPr="000F0E93">
        <w:rPr>
          <w:rFonts w:ascii="Trebuchet MS" w:eastAsia="Times New Roman" w:hAnsi="Trebuchet MS"/>
        </w:rPr>
        <w:t>Dobrești</w:t>
      </w:r>
      <w:r w:rsidR="0011211B" w:rsidRPr="000F0E93">
        <w:rPr>
          <w:rFonts w:ascii="Trebuchet MS" w:eastAsia="Times New Roman" w:hAnsi="Trebuchet MS"/>
        </w:rPr>
        <w:t xml:space="preserve"> (</w:t>
      </w:r>
      <w:r w:rsidR="001523AE" w:rsidRPr="000F0E93">
        <w:rPr>
          <w:rFonts w:ascii="Trebuchet MS" w:eastAsia="Times New Roman" w:hAnsi="Trebuchet MS"/>
        </w:rPr>
        <w:t>26,28</w:t>
      </w:r>
      <w:r w:rsidRPr="000F0E93">
        <w:rPr>
          <w:rFonts w:ascii="Trebuchet MS" w:eastAsia="Times New Roman" w:hAnsi="Trebuchet MS"/>
        </w:rPr>
        <w:t xml:space="preserve"> km</w:t>
      </w:r>
      <w:r w:rsidRPr="000F0E93">
        <w:rPr>
          <w:rFonts w:ascii="Trebuchet MS" w:eastAsia="Times New Roman" w:hAnsi="Trebuchet MS"/>
          <w:vertAlign w:val="superscript"/>
        </w:rPr>
        <w:t>2</w:t>
      </w:r>
      <w:r w:rsidRPr="000F0E93">
        <w:rPr>
          <w:rFonts w:ascii="Trebuchet MS" w:eastAsia="Times New Roman" w:hAnsi="Trebuchet MS"/>
        </w:rPr>
        <w:t xml:space="preserve">), </w:t>
      </w:r>
      <w:r w:rsidR="001523AE" w:rsidRPr="000F0E93">
        <w:rPr>
          <w:rFonts w:ascii="Trebuchet MS" w:eastAsia="Times New Roman" w:hAnsi="Trebuchet MS"/>
        </w:rPr>
        <w:t>Drănic (15,22</w:t>
      </w:r>
      <w:r w:rsidR="0011211B" w:rsidRPr="000F0E93">
        <w:rPr>
          <w:rFonts w:ascii="Trebuchet MS" w:eastAsia="Times New Roman" w:hAnsi="Trebuchet MS"/>
        </w:rPr>
        <w:t xml:space="preserve"> </w:t>
      </w:r>
      <w:r w:rsidRPr="000F0E93">
        <w:rPr>
          <w:rFonts w:ascii="Trebuchet MS" w:eastAsia="Times New Roman" w:hAnsi="Trebuchet MS"/>
        </w:rPr>
        <w:t>km</w:t>
      </w:r>
      <w:r w:rsidRPr="000F0E93">
        <w:rPr>
          <w:rFonts w:ascii="Trebuchet MS" w:eastAsia="Times New Roman" w:hAnsi="Trebuchet MS"/>
          <w:vertAlign w:val="superscript"/>
        </w:rPr>
        <w:t>2</w:t>
      </w:r>
      <w:r w:rsidRPr="000F0E93">
        <w:rPr>
          <w:rFonts w:ascii="Trebuchet MS" w:eastAsia="Times New Roman" w:hAnsi="Trebuchet MS"/>
        </w:rPr>
        <w:t xml:space="preserve">), </w:t>
      </w:r>
      <w:r w:rsidR="001523AE" w:rsidRPr="000F0E93">
        <w:rPr>
          <w:rFonts w:ascii="Trebuchet MS" w:eastAsia="Times New Roman" w:hAnsi="Trebuchet MS"/>
        </w:rPr>
        <w:t>Podari (5,39</w:t>
      </w:r>
      <w:r w:rsidRPr="000F0E93">
        <w:rPr>
          <w:rFonts w:ascii="Trebuchet MS" w:eastAsia="Times New Roman" w:hAnsi="Trebuchet MS"/>
        </w:rPr>
        <w:t xml:space="preserve"> km</w:t>
      </w:r>
      <w:r w:rsidRPr="000F0E93">
        <w:rPr>
          <w:rFonts w:ascii="Trebuchet MS" w:eastAsia="Times New Roman" w:hAnsi="Trebuchet MS"/>
          <w:vertAlign w:val="superscript"/>
        </w:rPr>
        <w:t>2</w:t>
      </w:r>
      <w:r w:rsidRPr="000F0E93">
        <w:rPr>
          <w:rFonts w:ascii="Trebuchet MS" w:eastAsia="Times New Roman" w:hAnsi="Trebuchet MS"/>
        </w:rPr>
        <w:t>)</w:t>
      </w:r>
      <w:r w:rsidR="0011211B" w:rsidRPr="000F0E93">
        <w:rPr>
          <w:rFonts w:ascii="Trebuchet MS" w:eastAsia="Times New Roman" w:hAnsi="Trebuchet MS"/>
        </w:rPr>
        <w:t xml:space="preserve">, </w:t>
      </w:r>
      <w:r w:rsidR="001523AE" w:rsidRPr="000F0E93">
        <w:rPr>
          <w:rFonts w:ascii="Trebuchet MS" w:eastAsia="Times New Roman" w:hAnsi="Trebuchet MS"/>
        </w:rPr>
        <w:t>Segarcea (0,13</w:t>
      </w:r>
      <w:r w:rsidR="0011211B" w:rsidRPr="000F0E93">
        <w:rPr>
          <w:rFonts w:ascii="Trebuchet MS" w:eastAsia="Times New Roman" w:hAnsi="Trebuchet MS"/>
        </w:rPr>
        <w:t xml:space="preserve"> km</w:t>
      </w:r>
      <w:r w:rsidRPr="000F0E93">
        <w:rPr>
          <w:rFonts w:ascii="Trebuchet MS" w:eastAsia="Times New Roman" w:hAnsi="Trebuchet MS"/>
          <w:vertAlign w:val="superscript"/>
        </w:rPr>
        <w:t>2</w:t>
      </w:r>
      <w:r w:rsidRPr="000F0E93">
        <w:rPr>
          <w:rFonts w:ascii="Trebuchet MS" w:eastAsia="Times New Roman" w:hAnsi="Trebuchet MS"/>
        </w:rPr>
        <w:t>)</w:t>
      </w:r>
      <w:r w:rsidR="0011211B" w:rsidRPr="000F0E93">
        <w:rPr>
          <w:rFonts w:ascii="Trebuchet MS" w:eastAsia="Times New Roman" w:hAnsi="Trebuchet MS"/>
        </w:rPr>
        <w:t xml:space="preserve"> și </w:t>
      </w:r>
      <w:r w:rsidR="001523AE" w:rsidRPr="000F0E93">
        <w:rPr>
          <w:rFonts w:ascii="Trebuchet MS" w:eastAsia="Times New Roman" w:hAnsi="Trebuchet MS"/>
        </w:rPr>
        <w:t>Țuglui</w:t>
      </w:r>
      <w:r w:rsidR="0011211B" w:rsidRPr="000F0E93">
        <w:rPr>
          <w:rFonts w:ascii="Trebuchet MS" w:eastAsia="Times New Roman" w:hAnsi="Trebuchet MS"/>
        </w:rPr>
        <w:t xml:space="preserve"> (</w:t>
      </w:r>
      <w:r w:rsidR="001523AE" w:rsidRPr="000F0E93">
        <w:rPr>
          <w:rFonts w:ascii="Trebuchet MS" w:eastAsia="Times New Roman" w:hAnsi="Trebuchet MS"/>
        </w:rPr>
        <w:t xml:space="preserve">5,19 </w:t>
      </w:r>
      <w:r w:rsidR="0011211B" w:rsidRPr="000F0E93">
        <w:rPr>
          <w:rFonts w:ascii="Trebuchet MS" w:eastAsia="Times New Roman" w:hAnsi="Trebuchet MS"/>
        </w:rPr>
        <w:t>km</w:t>
      </w:r>
      <w:r w:rsidR="0011211B" w:rsidRPr="000F0E93">
        <w:rPr>
          <w:rFonts w:ascii="Trebuchet MS" w:eastAsia="Times New Roman" w:hAnsi="Trebuchet MS"/>
          <w:vertAlign w:val="superscript"/>
        </w:rPr>
        <w:t>2</w:t>
      </w:r>
      <w:r w:rsidR="0011211B" w:rsidRPr="000F0E93">
        <w:rPr>
          <w:rFonts w:ascii="Trebuchet MS" w:eastAsia="Times New Roman" w:hAnsi="Trebuchet MS"/>
        </w:rPr>
        <w:t>)</w:t>
      </w:r>
      <w:r w:rsidR="001523AE" w:rsidRPr="000F0E93">
        <w:rPr>
          <w:rFonts w:ascii="Trebuchet MS" w:eastAsia="Times New Roman" w:hAnsi="Trebuchet MS"/>
        </w:rPr>
        <w:t>.</w:t>
      </w:r>
      <w:r w:rsidRPr="000F0E93">
        <w:rPr>
          <w:rFonts w:ascii="Trebuchet MS" w:eastAsia="Times New Roman" w:hAnsi="Trebuchet MS"/>
        </w:rPr>
        <w:t xml:space="preserve"> </w:t>
      </w:r>
      <w:r w:rsidR="0061457B" w:rsidRPr="000F0E93">
        <w:rPr>
          <w:rFonts w:ascii="Trebuchet MS" w:eastAsia="Times New Roman" w:hAnsi="Trebuchet MS"/>
        </w:rPr>
        <w:t>Aceste situri naturale, alături de cele 46 de monumente istorice atestate de Ministerul Culturii pot reprezenta vectorii dezvoltării turismului rural și celui istoric.</w:t>
      </w:r>
    </w:p>
    <w:p w:rsidR="00484005" w:rsidRPr="00042F56" w:rsidRDefault="00484005" w:rsidP="00042F56">
      <w:pPr>
        <w:pStyle w:val="ListParagraph"/>
        <w:spacing w:after="0"/>
        <w:ind w:left="11"/>
        <w:jc w:val="both"/>
        <w:rPr>
          <w:rFonts w:ascii="Trebuchet MS" w:eastAsia="Times New Roman" w:hAnsi="Trebuchet MS"/>
          <w:b/>
          <w:lang w:eastAsia="ro-RO"/>
        </w:rPr>
      </w:pPr>
      <w:r w:rsidRPr="000F0E93">
        <w:rPr>
          <w:rFonts w:ascii="Trebuchet MS" w:hAnsi="Trebuchet MS" w:cs="Arial"/>
          <w:b/>
          <w:bCs/>
          <w:color w:val="000000"/>
          <w:lang w:val="fr-FR"/>
        </w:rPr>
        <w:t xml:space="preserve">SDL </w:t>
      </w:r>
      <w:proofErr w:type="spellStart"/>
      <w:r w:rsidRPr="000F0E93">
        <w:rPr>
          <w:rFonts w:ascii="Trebuchet MS" w:hAnsi="Trebuchet MS" w:cs="Arial"/>
          <w:b/>
          <w:bCs/>
          <w:color w:val="000000"/>
          <w:lang w:val="fr-FR"/>
        </w:rPr>
        <w:t>demonstrează</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conformitatea</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cu</w:t>
      </w:r>
      <w:proofErr w:type="spellEnd"/>
      <w:r w:rsidRPr="000F0E93">
        <w:rPr>
          <w:rFonts w:ascii="Trebuchet MS" w:hAnsi="Trebuchet MS" w:cs="Arial"/>
          <w:b/>
          <w:bCs/>
          <w:color w:val="000000"/>
          <w:lang w:val="fr-FR"/>
        </w:rPr>
        <w:t xml:space="preserve"> C.S. 1.3 </w:t>
      </w:r>
      <w:proofErr w:type="spellStart"/>
      <w:r w:rsidRPr="000F0E93">
        <w:rPr>
          <w:rFonts w:ascii="Trebuchet MS" w:hAnsi="Trebuchet MS" w:cs="Arial"/>
          <w:b/>
          <w:bCs/>
          <w:color w:val="000000"/>
          <w:lang w:val="fr-FR"/>
        </w:rPr>
        <w:t>prin</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faptul</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că</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teritoriul</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acoperit</w:t>
      </w:r>
      <w:proofErr w:type="spellEnd"/>
      <w:r w:rsidRPr="000F0E93">
        <w:rPr>
          <w:rFonts w:ascii="Trebuchet MS" w:hAnsi="Trebuchet MS" w:cs="Arial"/>
          <w:b/>
          <w:bCs/>
          <w:color w:val="000000"/>
          <w:lang w:val="fr-FR"/>
        </w:rPr>
        <w:t xml:space="preserve"> de </w:t>
      </w:r>
      <w:proofErr w:type="spellStart"/>
      <w:r w:rsidRPr="000F0E93">
        <w:rPr>
          <w:rFonts w:ascii="Trebuchet MS" w:hAnsi="Trebuchet MS" w:cs="Arial"/>
          <w:b/>
          <w:bCs/>
          <w:color w:val="000000"/>
          <w:lang w:val="fr-FR"/>
        </w:rPr>
        <w:t>parteneriat</w:t>
      </w:r>
      <w:proofErr w:type="spellEnd"/>
      <w:r w:rsidRPr="000F0E93">
        <w:rPr>
          <w:rFonts w:ascii="Trebuchet MS" w:hAnsi="Trebuchet MS" w:cs="Arial"/>
          <w:b/>
          <w:bCs/>
          <w:color w:val="000000"/>
          <w:lang w:val="fr-FR"/>
        </w:rPr>
        <w:t xml:space="preserve"> </w:t>
      </w:r>
      <w:proofErr w:type="spellStart"/>
      <w:r w:rsidRPr="000F0E93">
        <w:rPr>
          <w:rFonts w:ascii="Trebuchet MS" w:hAnsi="Trebuchet MS" w:cs="Arial"/>
          <w:b/>
          <w:bCs/>
          <w:color w:val="000000"/>
          <w:lang w:val="fr-FR"/>
        </w:rPr>
        <w:t>cuprinde</w:t>
      </w:r>
      <w:proofErr w:type="spellEnd"/>
      <w:r w:rsidRPr="000F0E93">
        <w:rPr>
          <w:rFonts w:ascii="Trebuchet MS" w:hAnsi="Trebuchet MS" w:cs="Arial"/>
          <w:b/>
          <w:bCs/>
          <w:color w:val="000000"/>
          <w:lang w:val="fr-FR"/>
        </w:rPr>
        <w:t xml:space="preserve"> zone </w:t>
      </w:r>
      <w:proofErr w:type="spellStart"/>
      <w:r w:rsidRPr="000F0E93">
        <w:rPr>
          <w:rFonts w:ascii="Trebuchet MS" w:hAnsi="Trebuchet MS" w:cs="Arial"/>
          <w:b/>
          <w:bCs/>
          <w:color w:val="000000"/>
          <w:lang w:val="fr-FR"/>
        </w:rPr>
        <w:t>Natura</w:t>
      </w:r>
      <w:proofErr w:type="spellEnd"/>
      <w:r w:rsidRPr="000F0E93">
        <w:rPr>
          <w:rFonts w:ascii="Trebuchet MS" w:hAnsi="Trebuchet MS" w:cs="Arial"/>
          <w:b/>
          <w:bCs/>
          <w:color w:val="000000"/>
          <w:lang w:val="fr-FR"/>
        </w:rPr>
        <w:t xml:space="preserve"> 2000</w:t>
      </w:r>
      <w:r w:rsidRPr="000F0E93">
        <w:rPr>
          <w:rFonts w:ascii="Trebuchet MS" w:hAnsi="Trebuchet MS" w:cs="Trebuchet MS"/>
          <w:b/>
          <w:color w:val="000000"/>
          <w:lang w:val="fr-FR"/>
        </w:rPr>
        <w:t>.</w:t>
      </w:r>
    </w:p>
    <w:sectPr w:rsidR="00484005" w:rsidRPr="00042F56" w:rsidSect="005D5280">
      <w:footerReference w:type="default" r:id="rId14"/>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A87" w:rsidRDefault="004F3A87" w:rsidP="0034232F">
      <w:pPr>
        <w:spacing w:after="0" w:line="240" w:lineRule="auto"/>
      </w:pPr>
      <w:r>
        <w:separator/>
      </w:r>
    </w:p>
  </w:endnote>
  <w:endnote w:type="continuationSeparator" w:id="0">
    <w:p w:rsidR="004F3A87" w:rsidRDefault="004F3A87" w:rsidP="00342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C66" w:rsidRDefault="00647C66">
    <w:pPr>
      <w:pStyle w:val="Footer"/>
      <w:jc w:val="right"/>
    </w:pPr>
  </w:p>
  <w:p w:rsidR="00647C66" w:rsidRDefault="00647C66" w:rsidP="000E61F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A87" w:rsidRDefault="004F3A87" w:rsidP="0034232F">
      <w:pPr>
        <w:spacing w:after="0" w:line="240" w:lineRule="auto"/>
      </w:pPr>
      <w:r>
        <w:separator/>
      </w:r>
    </w:p>
  </w:footnote>
  <w:footnote w:type="continuationSeparator" w:id="0">
    <w:p w:rsidR="004F3A87" w:rsidRDefault="004F3A87" w:rsidP="003423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83EFA"/>
    <w:multiLevelType w:val="hybridMultilevel"/>
    <w:tmpl w:val="430A5E2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5F5463F7"/>
    <w:multiLevelType w:val="hybridMultilevel"/>
    <w:tmpl w:val="36C81216"/>
    <w:lvl w:ilvl="0" w:tplc="C2667D7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14D47"/>
    <w:multiLevelType w:val="hybridMultilevel"/>
    <w:tmpl w:val="DAEE9984"/>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502E"/>
    <w:rsid w:val="000044D4"/>
    <w:rsid w:val="000078D8"/>
    <w:rsid w:val="00011E9D"/>
    <w:rsid w:val="00042F26"/>
    <w:rsid w:val="00042F56"/>
    <w:rsid w:val="0006411F"/>
    <w:rsid w:val="000C4FC6"/>
    <w:rsid w:val="000E61FB"/>
    <w:rsid w:val="000F0E93"/>
    <w:rsid w:val="000F5167"/>
    <w:rsid w:val="0011211B"/>
    <w:rsid w:val="00124452"/>
    <w:rsid w:val="00127E18"/>
    <w:rsid w:val="00137680"/>
    <w:rsid w:val="001523AE"/>
    <w:rsid w:val="00154E1D"/>
    <w:rsid w:val="001B5590"/>
    <w:rsid w:val="0021070F"/>
    <w:rsid w:val="00227CB8"/>
    <w:rsid w:val="002373E4"/>
    <w:rsid w:val="00273C97"/>
    <w:rsid w:val="00275B11"/>
    <w:rsid w:val="0029465E"/>
    <w:rsid w:val="002B0701"/>
    <w:rsid w:val="002B1BC9"/>
    <w:rsid w:val="002C56DC"/>
    <w:rsid w:val="002D0FD0"/>
    <w:rsid w:val="002F2394"/>
    <w:rsid w:val="002F2B05"/>
    <w:rsid w:val="003073CE"/>
    <w:rsid w:val="003124CC"/>
    <w:rsid w:val="003174DA"/>
    <w:rsid w:val="0034232F"/>
    <w:rsid w:val="00350740"/>
    <w:rsid w:val="003676CF"/>
    <w:rsid w:val="00374CFF"/>
    <w:rsid w:val="00376B3B"/>
    <w:rsid w:val="00381939"/>
    <w:rsid w:val="0039467A"/>
    <w:rsid w:val="003A7E1D"/>
    <w:rsid w:val="003D1F85"/>
    <w:rsid w:val="003D2207"/>
    <w:rsid w:val="003D56B0"/>
    <w:rsid w:val="00444145"/>
    <w:rsid w:val="0045502E"/>
    <w:rsid w:val="00484005"/>
    <w:rsid w:val="004E0CB0"/>
    <w:rsid w:val="004F3A87"/>
    <w:rsid w:val="00543E54"/>
    <w:rsid w:val="005526BF"/>
    <w:rsid w:val="0055615E"/>
    <w:rsid w:val="005624ED"/>
    <w:rsid w:val="005657E2"/>
    <w:rsid w:val="00567A99"/>
    <w:rsid w:val="00571737"/>
    <w:rsid w:val="00580216"/>
    <w:rsid w:val="00592E34"/>
    <w:rsid w:val="005933F2"/>
    <w:rsid w:val="00595B22"/>
    <w:rsid w:val="005D3115"/>
    <w:rsid w:val="005D5280"/>
    <w:rsid w:val="00601F94"/>
    <w:rsid w:val="00603EE9"/>
    <w:rsid w:val="0061457B"/>
    <w:rsid w:val="00630C0C"/>
    <w:rsid w:val="00647C66"/>
    <w:rsid w:val="00682F0A"/>
    <w:rsid w:val="00691D91"/>
    <w:rsid w:val="006C1479"/>
    <w:rsid w:val="0070008A"/>
    <w:rsid w:val="00705DF8"/>
    <w:rsid w:val="007126DD"/>
    <w:rsid w:val="00724B59"/>
    <w:rsid w:val="00757DC5"/>
    <w:rsid w:val="00776379"/>
    <w:rsid w:val="00780B98"/>
    <w:rsid w:val="007C4959"/>
    <w:rsid w:val="007D714A"/>
    <w:rsid w:val="007E38BF"/>
    <w:rsid w:val="007F7269"/>
    <w:rsid w:val="008008FE"/>
    <w:rsid w:val="0082400B"/>
    <w:rsid w:val="00824D5A"/>
    <w:rsid w:val="008610B6"/>
    <w:rsid w:val="00863DAB"/>
    <w:rsid w:val="00866882"/>
    <w:rsid w:val="008826C8"/>
    <w:rsid w:val="0089061F"/>
    <w:rsid w:val="008A40A1"/>
    <w:rsid w:val="008A677A"/>
    <w:rsid w:val="008C4A2F"/>
    <w:rsid w:val="009109CD"/>
    <w:rsid w:val="0091310F"/>
    <w:rsid w:val="0094275B"/>
    <w:rsid w:val="00980E90"/>
    <w:rsid w:val="009B0E91"/>
    <w:rsid w:val="009F7A8D"/>
    <w:rsid w:val="00A1594D"/>
    <w:rsid w:val="00A32A37"/>
    <w:rsid w:val="00A72D71"/>
    <w:rsid w:val="00A872A1"/>
    <w:rsid w:val="00AB66CC"/>
    <w:rsid w:val="00AE46B8"/>
    <w:rsid w:val="00B2744B"/>
    <w:rsid w:val="00B306D3"/>
    <w:rsid w:val="00B366C9"/>
    <w:rsid w:val="00B7307E"/>
    <w:rsid w:val="00B81616"/>
    <w:rsid w:val="00B845F6"/>
    <w:rsid w:val="00B937B6"/>
    <w:rsid w:val="00BC61D0"/>
    <w:rsid w:val="00BF677D"/>
    <w:rsid w:val="00BF6A9A"/>
    <w:rsid w:val="00C0556B"/>
    <w:rsid w:val="00C264BB"/>
    <w:rsid w:val="00C41863"/>
    <w:rsid w:val="00C60BE7"/>
    <w:rsid w:val="00C90E84"/>
    <w:rsid w:val="00C94C2F"/>
    <w:rsid w:val="00CC5057"/>
    <w:rsid w:val="00CD0911"/>
    <w:rsid w:val="00CD5FB6"/>
    <w:rsid w:val="00D04B0E"/>
    <w:rsid w:val="00D136D7"/>
    <w:rsid w:val="00D13A7E"/>
    <w:rsid w:val="00D158B9"/>
    <w:rsid w:val="00D41E9E"/>
    <w:rsid w:val="00D458B6"/>
    <w:rsid w:val="00D533F0"/>
    <w:rsid w:val="00D87EF1"/>
    <w:rsid w:val="00D9116F"/>
    <w:rsid w:val="00DF0CC7"/>
    <w:rsid w:val="00DF1752"/>
    <w:rsid w:val="00E55349"/>
    <w:rsid w:val="00E7773F"/>
    <w:rsid w:val="00EC7B92"/>
    <w:rsid w:val="00EF25DC"/>
    <w:rsid w:val="00F06E6E"/>
    <w:rsid w:val="00F42B3E"/>
    <w:rsid w:val="00F51751"/>
    <w:rsid w:val="00F92B8B"/>
    <w:rsid w:val="00FD79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2B49F-6A7E-4739-8062-8694C294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F94"/>
    <w:pPr>
      <w:spacing w:after="200" w:line="276"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0C4FC6"/>
    <w:rPr>
      <w:color w:val="0563C1" w:themeColor="hyperlink"/>
      <w:u w:val="single"/>
    </w:rPr>
  </w:style>
  <w:style w:type="paragraph" w:styleId="Header">
    <w:name w:val="header"/>
    <w:basedOn w:val="Normal"/>
    <w:link w:val="HeaderChar"/>
    <w:uiPriority w:val="99"/>
    <w:unhideWhenUsed/>
    <w:rsid w:val="00647C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7C66"/>
  </w:style>
  <w:style w:type="paragraph" w:styleId="Footer">
    <w:name w:val="footer"/>
    <w:basedOn w:val="Normal"/>
    <w:link w:val="FooterChar"/>
    <w:uiPriority w:val="99"/>
    <w:unhideWhenUsed/>
    <w:rsid w:val="00647C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7C66"/>
  </w:style>
  <w:style w:type="table" w:styleId="TableGrid">
    <w:name w:val="Table Grid"/>
    <w:basedOn w:val="TableNormal"/>
    <w:uiPriority w:val="39"/>
    <w:rsid w:val="00F51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5B22"/>
    <w:rPr>
      <w:color w:val="954F72" w:themeColor="followedHyperlink"/>
      <w:u w:val="single"/>
    </w:rPr>
  </w:style>
  <w:style w:type="paragraph" w:styleId="BalloonText">
    <w:name w:val="Balloon Text"/>
    <w:basedOn w:val="Normal"/>
    <w:link w:val="BalloonTextChar"/>
    <w:uiPriority w:val="99"/>
    <w:semiHidden/>
    <w:unhideWhenUsed/>
    <w:rsid w:val="00567A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A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79620">
      <w:bodyDiv w:val="1"/>
      <w:marLeft w:val="0"/>
      <w:marRight w:val="0"/>
      <w:marTop w:val="0"/>
      <w:marBottom w:val="0"/>
      <w:divBdr>
        <w:top w:val="none" w:sz="0" w:space="0" w:color="auto"/>
        <w:left w:val="none" w:sz="0" w:space="0" w:color="auto"/>
        <w:bottom w:val="none" w:sz="0" w:space="0" w:color="auto"/>
        <w:right w:val="none" w:sz="0" w:space="0" w:color="auto"/>
      </w:divBdr>
    </w:div>
    <w:div w:id="202140193">
      <w:bodyDiv w:val="1"/>
      <w:marLeft w:val="0"/>
      <w:marRight w:val="0"/>
      <w:marTop w:val="0"/>
      <w:marBottom w:val="0"/>
      <w:divBdr>
        <w:top w:val="none" w:sz="0" w:space="0" w:color="auto"/>
        <w:left w:val="none" w:sz="0" w:space="0" w:color="auto"/>
        <w:bottom w:val="none" w:sz="0" w:space="0" w:color="auto"/>
        <w:right w:val="none" w:sz="0" w:space="0" w:color="auto"/>
      </w:divBdr>
    </w:div>
    <w:div w:id="324238697">
      <w:bodyDiv w:val="1"/>
      <w:marLeft w:val="0"/>
      <w:marRight w:val="0"/>
      <w:marTop w:val="0"/>
      <w:marBottom w:val="0"/>
      <w:divBdr>
        <w:top w:val="none" w:sz="0" w:space="0" w:color="auto"/>
        <w:left w:val="none" w:sz="0" w:space="0" w:color="auto"/>
        <w:bottom w:val="none" w:sz="0" w:space="0" w:color="auto"/>
        <w:right w:val="none" w:sz="0" w:space="0" w:color="auto"/>
      </w:divBdr>
    </w:div>
    <w:div w:id="436289111">
      <w:bodyDiv w:val="1"/>
      <w:marLeft w:val="0"/>
      <w:marRight w:val="0"/>
      <w:marTop w:val="0"/>
      <w:marBottom w:val="0"/>
      <w:divBdr>
        <w:top w:val="none" w:sz="0" w:space="0" w:color="auto"/>
        <w:left w:val="none" w:sz="0" w:space="0" w:color="auto"/>
        <w:bottom w:val="none" w:sz="0" w:space="0" w:color="auto"/>
        <w:right w:val="none" w:sz="0" w:space="0" w:color="auto"/>
      </w:divBdr>
    </w:div>
    <w:div w:id="569578283">
      <w:bodyDiv w:val="1"/>
      <w:marLeft w:val="0"/>
      <w:marRight w:val="0"/>
      <w:marTop w:val="0"/>
      <w:marBottom w:val="0"/>
      <w:divBdr>
        <w:top w:val="none" w:sz="0" w:space="0" w:color="auto"/>
        <w:left w:val="none" w:sz="0" w:space="0" w:color="auto"/>
        <w:bottom w:val="none" w:sz="0" w:space="0" w:color="auto"/>
        <w:right w:val="none" w:sz="0" w:space="0" w:color="auto"/>
      </w:divBdr>
    </w:div>
    <w:div w:id="779758164">
      <w:bodyDiv w:val="1"/>
      <w:marLeft w:val="0"/>
      <w:marRight w:val="0"/>
      <w:marTop w:val="0"/>
      <w:marBottom w:val="0"/>
      <w:divBdr>
        <w:top w:val="none" w:sz="0" w:space="0" w:color="auto"/>
        <w:left w:val="none" w:sz="0" w:space="0" w:color="auto"/>
        <w:bottom w:val="none" w:sz="0" w:space="0" w:color="auto"/>
        <w:right w:val="none" w:sz="0" w:space="0" w:color="auto"/>
      </w:divBdr>
    </w:div>
    <w:div w:id="793905117">
      <w:bodyDiv w:val="1"/>
      <w:marLeft w:val="0"/>
      <w:marRight w:val="0"/>
      <w:marTop w:val="0"/>
      <w:marBottom w:val="0"/>
      <w:divBdr>
        <w:top w:val="none" w:sz="0" w:space="0" w:color="auto"/>
        <w:left w:val="none" w:sz="0" w:space="0" w:color="auto"/>
        <w:bottom w:val="none" w:sz="0" w:space="0" w:color="auto"/>
        <w:right w:val="none" w:sz="0" w:space="0" w:color="auto"/>
      </w:divBdr>
    </w:div>
    <w:div w:id="832111848">
      <w:bodyDiv w:val="1"/>
      <w:marLeft w:val="0"/>
      <w:marRight w:val="0"/>
      <w:marTop w:val="0"/>
      <w:marBottom w:val="0"/>
      <w:divBdr>
        <w:top w:val="none" w:sz="0" w:space="0" w:color="auto"/>
        <w:left w:val="none" w:sz="0" w:space="0" w:color="auto"/>
        <w:bottom w:val="none" w:sz="0" w:space="0" w:color="auto"/>
        <w:right w:val="none" w:sz="0" w:space="0" w:color="auto"/>
      </w:divBdr>
    </w:div>
    <w:div w:id="1741901926">
      <w:bodyDiv w:val="1"/>
      <w:marLeft w:val="0"/>
      <w:marRight w:val="0"/>
      <w:marTop w:val="0"/>
      <w:marBottom w:val="0"/>
      <w:divBdr>
        <w:top w:val="none" w:sz="0" w:space="0" w:color="auto"/>
        <w:left w:val="none" w:sz="0" w:space="0" w:color="auto"/>
        <w:bottom w:val="none" w:sz="0" w:space="0" w:color="auto"/>
        <w:right w:val="none" w:sz="0" w:space="0" w:color="auto"/>
      </w:divBdr>
    </w:div>
    <w:div w:id="19688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rga2010.djsct.ro/inceput.php?cod=7&amp;codj=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atistici.insse.ro/shop/index.jsp?page=tempo3&amp;lang=ro&amp;ind=POP107D"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Busega%20Ionut\Google%20Drive\2014-2020%20-%20LEADER\3.%20Dolj\Analiza%20GAL%20Segarce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usega%20Ionut\Google%20Drive\2014-2020%20-%20LEADER\3.%20Dolj\Analiza%20GAL%20Segarce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usega%20Ionut\Google%20Drive\2014-2020%20-%20LEADER\3.%20Dolj\Analiza%20GAL%20Segarce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usega%20Ionut\Google%20Drive\2014-2020%20-%20LEADER\3.%20Dolj\Analiza%20GAL%20Segarce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'Evoluția demografica'!$C$26:$Z$26</c:f>
              <c:numCache>
                <c:formatCode>General</c:formatCode>
                <c:ptCount val="24"/>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numCache>
            </c:numRef>
          </c:cat>
          <c:val>
            <c:numRef>
              <c:f>'Evoluția demografica'!$C$39:$Z$39</c:f>
              <c:numCache>
                <c:formatCode>General</c:formatCode>
                <c:ptCount val="24"/>
                <c:pt idx="0">
                  <c:v>43911</c:v>
                </c:pt>
                <c:pt idx="1">
                  <c:v>43412</c:v>
                </c:pt>
                <c:pt idx="2">
                  <c:v>43031</c:v>
                </c:pt>
                <c:pt idx="3">
                  <c:v>42680</c:v>
                </c:pt>
                <c:pt idx="4">
                  <c:v>42322</c:v>
                </c:pt>
                <c:pt idx="5">
                  <c:v>42057</c:v>
                </c:pt>
                <c:pt idx="6">
                  <c:v>41825</c:v>
                </c:pt>
                <c:pt idx="7">
                  <c:v>41629</c:v>
                </c:pt>
                <c:pt idx="8">
                  <c:v>41580</c:v>
                </c:pt>
                <c:pt idx="9">
                  <c:v>41685</c:v>
                </c:pt>
                <c:pt idx="10">
                  <c:v>41590</c:v>
                </c:pt>
                <c:pt idx="11">
                  <c:v>41632</c:v>
                </c:pt>
                <c:pt idx="12">
                  <c:v>41496</c:v>
                </c:pt>
                <c:pt idx="13">
                  <c:v>41492</c:v>
                </c:pt>
                <c:pt idx="14">
                  <c:v>41261</c:v>
                </c:pt>
                <c:pt idx="15">
                  <c:v>41073</c:v>
                </c:pt>
                <c:pt idx="16">
                  <c:v>41114</c:v>
                </c:pt>
                <c:pt idx="17">
                  <c:v>41039</c:v>
                </c:pt>
                <c:pt idx="18">
                  <c:v>40904</c:v>
                </c:pt>
                <c:pt idx="19">
                  <c:v>40725</c:v>
                </c:pt>
                <c:pt idx="20">
                  <c:v>40485</c:v>
                </c:pt>
                <c:pt idx="21">
                  <c:v>40338</c:v>
                </c:pt>
                <c:pt idx="22">
                  <c:v>40123</c:v>
                </c:pt>
                <c:pt idx="23">
                  <c:v>39862</c:v>
                </c:pt>
              </c:numCache>
            </c:numRef>
          </c:val>
          <c:smooth val="0"/>
        </c:ser>
        <c:dLbls>
          <c:showLegendKey val="0"/>
          <c:showVal val="0"/>
          <c:showCatName val="0"/>
          <c:showSerName val="0"/>
          <c:showPercent val="0"/>
          <c:showBubbleSize val="0"/>
        </c:dLbls>
        <c:smooth val="0"/>
        <c:axId val="-1999545488"/>
        <c:axId val="-1999550928"/>
      </c:lineChart>
      <c:catAx>
        <c:axId val="-1999545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1999550928"/>
        <c:crosses val="autoZero"/>
        <c:auto val="1"/>
        <c:lblAlgn val="ctr"/>
        <c:lblOffset val="100"/>
        <c:noMultiLvlLbl val="0"/>
      </c:catAx>
      <c:valAx>
        <c:axId val="-1999550928"/>
        <c:scaling>
          <c:orientation val="minMax"/>
          <c:max val="45000"/>
          <c:min val="39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199954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rebuchet MS" panose="020B0603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'Teritoriul GAL'!$L$6:$L$18</c:f>
              <c:strCache>
                <c:ptCount val="13"/>
                <c:pt idx="0">
                  <c:v>Medie GAL</c:v>
                </c:pt>
                <c:pt idx="1">
                  <c:v>Lipovu</c:v>
                </c:pt>
                <c:pt idx="2">
                  <c:v>Radovan</c:v>
                </c:pt>
                <c:pt idx="3">
                  <c:v>Întorsura</c:v>
                </c:pt>
                <c:pt idx="4">
                  <c:v>Cioroiași</c:v>
                </c:pt>
                <c:pt idx="5">
                  <c:v>Dobrești</c:v>
                </c:pt>
                <c:pt idx="6">
                  <c:v>Dranic</c:v>
                </c:pt>
                <c:pt idx="7">
                  <c:v>Calopar</c:v>
                </c:pt>
                <c:pt idx="8">
                  <c:v>Cerat</c:v>
                </c:pt>
                <c:pt idx="9">
                  <c:v>Siliștea Crucii</c:v>
                </c:pt>
                <c:pt idx="10">
                  <c:v>Țuglui</c:v>
                </c:pt>
                <c:pt idx="11">
                  <c:v>Segarcea</c:v>
                </c:pt>
                <c:pt idx="12">
                  <c:v>Podari</c:v>
                </c:pt>
              </c:strCache>
            </c:strRef>
          </c:cat>
          <c:val>
            <c:numRef>
              <c:f>'Teritoriul GAL'!$M$6:$M$18</c:f>
              <c:numCache>
                <c:formatCode>General</c:formatCode>
                <c:ptCount val="13"/>
                <c:pt idx="0">
                  <c:v>46.63937916666665</c:v>
                </c:pt>
                <c:pt idx="1">
                  <c:v>28.57269999999999</c:v>
                </c:pt>
                <c:pt idx="2">
                  <c:v>32.643540000000002</c:v>
                </c:pt>
                <c:pt idx="3">
                  <c:v>39.532530000000015</c:v>
                </c:pt>
                <c:pt idx="4">
                  <c:v>40.594050000000003</c:v>
                </c:pt>
                <c:pt idx="5">
                  <c:v>44.083800000000004</c:v>
                </c:pt>
                <c:pt idx="6">
                  <c:v>44.39134</c:v>
                </c:pt>
                <c:pt idx="7">
                  <c:v>45.025380000000013</c:v>
                </c:pt>
                <c:pt idx="8">
                  <c:v>45.640710000000013</c:v>
                </c:pt>
                <c:pt idx="9">
                  <c:v>52.491320000000002</c:v>
                </c:pt>
                <c:pt idx="10">
                  <c:v>55.770870000000002</c:v>
                </c:pt>
                <c:pt idx="11">
                  <c:v>62.198580000000014</c:v>
                </c:pt>
                <c:pt idx="12">
                  <c:v>68.727729999999994</c:v>
                </c:pt>
              </c:numCache>
            </c:numRef>
          </c:val>
        </c:ser>
        <c:dLbls>
          <c:showLegendKey val="0"/>
          <c:showVal val="0"/>
          <c:showCatName val="0"/>
          <c:showSerName val="0"/>
          <c:showPercent val="0"/>
          <c:showBubbleSize val="0"/>
        </c:dLbls>
        <c:gapWidth val="219"/>
        <c:axId val="-1999546032"/>
        <c:axId val="-1999544400"/>
      </c:barChart>
      <c:catAx>
        <c:axId val="-19995460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1999544400"/>
        <c:crosses val="autoZero"/>
        <c:auto val="1"/>
        <c:lblAlgn val="ctr"/>
        <c:lblOffset val="100"/>
        <c:noMultiLvlLbl val="0"/>
      </c:catAx>
      <c:valAx>
        <c:axId val="-1999544400"/>
        <c:scaling>
          <c:orientation val="minMax"/>
          <c:max val="75"/>
          <c:min val="0"/>
        </c:scaling>
        <c:delete val="1"/>
        <c:axPos val="b"/>
        <c:numFmt formatCode="General" sourceLinked="1"/>
        <c:majorTickMark val="none"/>
        <c:minorTickMark val="none"/>
        <c:tickLblPos val="none"/>
        <c:crossAx val="-1999546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rebuchet MS" panose="020B0603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441855013307241"/>
          <c:y val="4.5076376312714495E-2"/>
          <c:w val="0.58830766119208799"/>
          <c:h val="0.89919919924253611"/>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'Pivot - fondul funciar'!$H$4:$I$13</c:f>
              <c:multiLvlStrCache>
                <c:ptCount val="10"/>
                <c:lvl>
                  <c:pt idx="0">
                    <c:v>Arabila</c:v>
                  </c:pt>
                  <c:pt idx="1">
                    <c:v>Pasuni</c:v>
                  </c:pt>
                  <c:pt idx="2">
                    <c:v>Finete</c:v>
                  </c:pt>
                  <c:pt idx="3">
                    <c:v>Livezi si pepiniere pomicole</c:v>
                  </c:pt>
                  <c:pt idx="4">
                    <c:v>Vii si pepiniere viticole</c:v>
                  </c:pt>
                  <c:pt idx="5">
                    <c:v>Paduri si alta vegetatie forestiera</c:v>
                  </c:pt>
                  <c:pt idx="6">
                    <c:v>Ocupata cu constructii</c:v>
                  </c:pt>
                  <c:pt idx="7">
                    <c:v>Ocupata cu ape  balti</c:v>
                  </c:pt>
                  <c:pt idx="8">
                    <c:v>Cai de comunicatii si cai ferate</c:v>
                  </c:pt>
                  <c:pt idx="9">
                    <c:v>Terenuri degradate si neproductive</c:v>
                  </c:pt>
                </c:lvl>
                <c:lvl>
                  <c:pt idx="0">
                    <c:v>Suprafață agricolă</c:v>
                  </c:pt>
                  <c:pt idx="5">
                    <c:v>Suprafață neagricolă</c:v>
                  </c:pt>
                </c:lvl>
              </c:multiLvlStrCache>
            </c:multiLvlStrRef>
          </c:cat>
          <c:val>
            <c:numRef>
              <c:f>'Pivot - fondul funciar'!$J$4:$J$13</c:f>
              <c:numCache>
                <c:formatCode>General</c:formatCode>
                <c:ptCount val="10"/>
                <c:pt idx="0">
                  <c:v>47902</c:v>
                </c:pt>
                <c:pt idx="1">
                  <c:v>5292</c:v>
                </c:pt>
                <c:pt idx="2">
                  <c:v>163</c:v>
                </c:pt>
                <c:pt idx="3">
                  <c:v>806</c:v>
                </c:pt>
                <c:pt idx="4">
                  <c:v>2481</c:v>
                </c:pt>
                <c:pt idx="5">
                  <c:v>7754</c:v>
                </c:pt>
                <c:pt idx="6">
                  <c:v>2584</c:v>
                </c:pt>
                <c:pt idx="7">
                  <c:v>1302</c:v>
                </c:pt>
                <c:pt idx="8">
                  <c:v>1283</c:v>
                </c:pt>
                <c:pt idx="9">
                  <c:v>317</c:v>
                </c:pt>
              </c:numCache>
            </c:numRef>
          </c:val>
        </c:ser>
        <c:dLbls>
          <c:showLegendKey val="0"/>
          <c:showVal val="0"/>
          <c:showCatName val="0"/>
          <c:showSerName val="0"/>
          <c:showPercent val="0"/>
          <c:showBubbleSize val="0"/>
        </c:dLbls>
        <c:gapWidth val="219"/>
        <c:axId val="-1999542768"/>
        <c:axId val="-1999541680"/>
      </c:barChart>
      <c:catAx>
        <c:axId val="-19995427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rebuchet MS" panose="020B0603020202020204" pitchFamily="34" charset="0"/>
                <a:ea typeface="+mn-ea"/>
                <a:cs typeface="+mn-cs"/>
              </a:defRPr>
            </a:pPr>
            <a:endParaRPr lang="en-US"/>
          </a:p>
        </c:txPr>
        <c:crossAx val="-1999541680"/>
        <c:crosses val="autoZero"/>
        <c:auto val="1"/>
        <c:lblAlgn val="ctr"/>
        <c:lblOffset val="100"/>
        <c:noMultiLvlLbl val="0"/>
      </c:catAx>
      <c:valAx>
        <c:axId val="-199954168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999542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Număr</c:v>
          </c:tx>
          <c:spPr>
            <a:solidFill>
              <a:schemeClr val="accent1"/>
            </a:solidFill>
            <a:ln>
              <a:noFill/>
            </a:ln>
            <a:effectLst/>
          </c:spPr>
          <c:invertIfNegative val="0"/>
          <c:cat>
            <c:strRef>
              <c:f>'Stadiul agriculturii'!$C$149:$N$149</c:f>
              <c:strCache>
                <c:ptCount val="12"/>
                <c:pt idx="0">
                  <c:v>Sub 0,1 ha</c:v>
                </c:pt>
                <c:pt idx="1">
                  <c:v>0,1 - 0,3 ha</c:v>
                </c:pt>
                <c:pt idx="2">
                  <c:v>0,3 - 0,5 ha</c:v>
                </c:pt>
                <c:pt idx="3">
                  <c:v>0,5 – 1 ha</c:v>
                </c:pt>
                <c:pt idx="4">
                  <c:v>1 – 2 ha</c:v>
                </c:pt>
                <c:pt idx="5">
                  <c:v>2 – 5 ha </c:v>
                </c:pt>
                <c:pt idx="6">
                  <c:v>5-10 ha</c:v>
                </c:pt>
                <c:pt idx="7">
                  <c:v>10 – 20 ha</c:v>
                </c:pt>
                <c:pt idx="8">
                  <c:v>20 – 30 ha</c:v>
                </c:pt>
                <c:pt idx="9">
                  <c:v>30 – 50 ha</c:v>
                </c:pt>
                <c:pt idx="10">
                  <c:v>50 – 100 ha</c:v>
                </c:pt>
                <c:pt idx="11">
                  <c:v>Peste 100 ha</c:v>
                </c:pt>
              </c:strCache>
            </c:strRef>
          </c:cat>
          <c:val>
            <c:numRef>
              <c:f>'Stadiul agriculturii'!$C$162:$N$162</c:f>
              <c:numCache>
                <c:formatCode>0</c:formatCode>
                <c:ptCount val="12"/>
                <c:pt idx="0">
                  <c:v>1689</c:v>
                </c:pt>
                <c:pt idx="1">
                  <c:v>2456</c:v>
                </c:pt>
                <c:pt idx="2">
                  <c:v>966</c:v>
                </c:pt>
                <c:pt idx="3">
                  <c:v>1520</c:v>
                </c:pt>
                <c:pt idx="4">
                  <c:v>2597</c:v>
                </c:pt>
                <c:pt idx="5">
                  <c:v>2713</c:v>
                </c:pt>
                <c:pt idx="6">
                  <c:v>509</c:v>
                </c:pt>
                <c:pt idx="7">
                  <c:v>102</c:v>
                </c:pt>
                <c:pt idx="8">
                  <c:v>29</c:v>
                </c:pt>
                <c:pt idx="9">
                  <c:v>26</c:v>
                </c:pt>
                <c:pt idx="10">
                  <c:v>27</c:v>
                </c:pt>
                <c:pt idx="11">
                  <c:v>52</c:v>
                </c:pt>
              </c:numCache>
            </c:numRef>
          </c:val>
        </c:ser>
        <c:dLbls>
          <c:showLegendKey val="0"/>
          <c:showVal val="0"/>
          <c:showCatName val="0"/>
          <c:showSerName val="0"/>
          <c:showPercent val="0"/>
          <c:showBubbleSize val="0"/>
        </c:dLbls>
        <c:gapWidth val="150"/>
        <c:axId val="-1999555280"/>
        <c:axId val="-2001599216"/>
      </c:barChart>
      <c:catAx>
        <c:axId val="-1999555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2001599216"/>
        <c:crosses val="autoZero"/>
        <c:auto val="1"/>
        <c:lblAlgn val="ctr"/>
        <c:lblOffset val="100"/>
        <c:noMultiLvlLbl val="0"/>
      </c:catAx>
      <c:valAx>
        <c:axId val="-2001599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19995552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j-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FA53E-F789-46F0-95D0-0BA7D387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TotalTime>
  <Pages>5</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Busega Ionut</dc:creator>
  <cp:keywords/>
  <dc:description/>
  <cp:lastModifiedBy>Cristina Zarug</cp:lastModifiedBy>
  <cp:revision>63</cp:revision>
  <dcterms:created xsi:type="dcterms:W3CDTF">2015-11-18T10:57:00Z</dcterms:created>
  <dcterms:modified xsi:type="dcterms:W3CDTF">2016-04-06T17:04:00Z</dcterms:modified>
</cp:coreProperties>
</file>